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BauSparkG — Zulassung zum Geschäftsbetrieb; Rechtsform</w:t>
      </w:r>
    </w:p>
    <w:p>
      <w:r>
        <w:rPr>
          <w:color w:val="555555"/>
          <w:sz w:val="18"/>
        </w:rPr>
        <w:t xml:space="preserve">Gesetz über Bausparkassen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das Bauspargeschäft betreiben will, bedarf der schriftlichen oder elektronischen Erlaubnis der Aufsichtsbehörde. Zusätzlich zu den in § 32 des Kreditwesengesetzes genannten Voraussetzungen setzt die Erteilung der Erlaubnis voraus, dass eine Bausparkasse</w:t>
      </w:r>
    </w:p>
    <w:p>
      <w:pPr>
        <w:ind w:left="420"/>
      </w:pPr>
      <w:r>
        <w:t xml:space="preserve">1. über ein Kernkapital im Sinne des Artikels 25 der Verordnung (EU) Nr. 575/2013 des Europäischen Parlaments und des Rates vom 26. Juni 2013 über Aufsichtsanforderungen an Kreditinstitute und Wertpapierfirmen und zur Änderung der Verordnung (EU) Nr. 646/2012 (ABl. L 176 vom 27.6.2013, S. 1) von mindestens 20 Millionen Euro verfügt,</w:t>
      </w:r>
    </w:p>
    <w:p>
      <w:pPr>
        <w:ind w:left="420"/>
      </w:pPr>
      <w:r>
        <w:t xml:space="preserve">2. geeignete Geschäftsleiter hat, die insbesondere über ausreichende Erfahrungen im Kredit- und Bauspargeschäft verfügen und nicht gleichzeitig Mitglied der Geschäftsleitung eines übergeordneten Unternehmens oder Schwesterunternehmens sind,</w:t>
      </w:r>
    </w:p>
    <w:p>
      <w:pPr>
        <w:ind w:left="420"/>
      </w:pPr>
      <w:r>
        <w:t xml:space="preserve">3. Allgemeine Geschäftsgrundsätze und Allgemeine Bedingungen für Bausparverträge formuliert hat, die jeweils den Anforderungen nach § 5 entsprechen,</w:t>
      </w:r>
    </w:p>
    <w:p>
      <w:pPr>
        <w:ind w:left="420"/>
      </w:pPr>
      <w:r>
        <w:t xml:space="preserve">4. geeignete Regelungen und Instrumente im Sinne des § 8 Absatz 1 zur Steuerung, Überwachung und Kontrolle der Risiken aus dem Bauspargeschäft besitzt,</w:t>
      </w:r>
    </w:p>
    <w:p>
      <w:pPr>
        <w:ind w:left="420"/>
      </w:pPr>
      <w:r>
        <w:t xml:space="preserve">5. der Bundesanstalt für Finanzdienstleistungsaufsicht (Bundesanstalt) einen Geschäftsplan vorlegt, in dem sie darlegt, wie sie das Bauspargeschäft regelmäßig und nachhaltig betreiben wird,</w:t>
      </w:r>
    </w:p>
    <w:p>
      <w:pPr>
        <w:ind w:left="420"/>
      </w:pPr>
      <w:r>
        <w:t xml:space="preserve">6. über den für den regelmäßigen und nachhaltigen Betrieb des Bauspargeschäfts erforderlichen organisatorischen Aufbau verfügt und</w:t>
      </w:r>
    </w:p>
    <w:p>
      <w:pPr>
        <w:ind w:left="420"/>
      </w:pPr>
      <w:r>
        <w:t xml:space="preserve">7. eine nachhaltige Vertriebstätigkeit sowie deren Kontrolle und Steuerung dauerhaft gewährleistet erscheinen lässt, um durch den ausreichenden Abschluss neuer Bausparverträge (Neugeschäft) eine gleichmäßige und möglichst kurze Wartezeit sicherstellen zu können.</w:t>
      </w:r>
    </w:p>
    <w:p>
      <w:r>
        <w:t xml:space="preserve">Das Vorliegen dieser Voraussetzungen ist im Erlaubnisantrag darzulegen.</w:t>
      </w:r>
    </w:p>
    <w:p>
      <w:r>
        <w:t xml:space="preserve">(2) Private Bausparkassen dürfen nur in der Rechtsform der Aktiengesellschaft betrieben werden. Die Rechtsform der öffentlich-rechtlichen Bausparkassen wird von den Ländern bestimmt.</w:t>
      </w:r>
    </w:p>
    <w:p>
      <w:r>
        <w:t xml:space="preserve">(3) Abweichend von § 33 Absatz 3 des Kreditwesengesetzes ist die erforderliche Erlaubnis auch dann zu versagen, wenn die Voraussetzungen nach den Absätzen 1 und 2 nicht vorliegen. Die Bundesanstalt kann die Erlaubnis auch versagen, wenn der Antrag entgegen Absatz 1 Satz 3 keine ausreichenden Angaben oder Unterlagen enthält.</w:t>
      </w:r>
    </w:p>
    <w:p>
      <w:r>
        <w:t xml:space="preserve">(4) Die Aufsichtsbehörde kann die Erlaubnis außer in den Fällen des § 35 Absatz 2 des Kreditwesengesetzes auch dann aufheben, wenn die Voraussetzungen nach Absatz 1 Satz 2 Nummer 1 bis 4, 6 und 7 sowie nach Absatz 2 nicht mehr vorliegen. Ist die Europäische Zentralbank Aufsichtsbehörde, kann die Bundesanstalt ihr nach Maßgabe von Satz 1 und § 35 Absatz 2 und 2a des Kreditwesengesetzes Beschlussentwürfe nach Artikel 14 Absatz 5 der Verordnung (EU) Nr. 1024/2013 des Rates vom 15. Oktober 2013 zur Übertragung besonderer Aufgaben im Zusammenhang mit der Aufsicht über Kreditinstitute auf die Europäische Zentralbank (ABl. L 287 vom 29.10.2013, S. 63) vorlegen.</w:t>
      </w:r>
    </w:p>
    <w:p>
      <w:r>
        <w:t xml:space="preserve">(5) Hebt die Aufsichtsbehörde die Erlaubnis für das Bauspargeschäft auf oder erlischt die Erlaubnis nach § 35 Absatz 1 des Kreditwesengesetzes, so ist der gesamte Bestand an Bausparverträgen mit den zugehörigen Aktiva und Passiva gemäß § 14 Absatz 1 auf eine andere Bausparkasse zu übertragen. Soweit zu diesem Zweck erforderlich, sind sonstige Aktiva und Passiva mit zu übertragen, etwa Forderungen aus einer Anlage nach § 4 Absatz 1 Nummer 10 in Verbindung mit § 4 Absatz 3, die zur Gewährung von Bauspardarlehen zugeführten Mittel sowie Verbindlichkeiten aus Geschäften nach § 4 Absatz 1 Nummer 5.</w:t>
      </w:r>
    </w:p>
    <w:p>
      <w:r>
        <w:t xml:space="preserve">(6) Kommt die Bausparkasse einer Aufforderung der Bundesanstalt zur Übertragung im Sinne des Absatzes 5 innerhalb einer angemessenen Zeit nicht nach, kann die Bundesanstalt die Abwicklung der Geschäfte anordnen. Für Bausparkassen, die keine juristischen Personen des öffentlichen Rechts sind, gilt § 38 Absatz 1 Satz 2 und 3 des Kreditwesengesetzes entsprechend.</w:t>
      </w:r>
    </w:p>
    <w:p>
      <w:r>
        <w:t xml:space="preserve">(7) Die Regelungen des Sanierungs- und Abwicklungsgesetzes, des Kreditinstitute-Reorganisationsgesetzes und § 48t des Kreditwesengesetzes bleiben jeweils unberührt.</w:t>
      </w:r>
    </w:p>
    <w:p>
      <w:r>
        <w:rPr>
          <w:color w:val="555555"/>
          <w:sz w:val="17"/>
        </w:rPr>
        <w:t xml:space="preserve">Zitiervorschlag: § 2 BauSparkG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https://recht.nulegal.eu/gesetze/BauSparkG/2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