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BauSparkG — Bestandsübertragung</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Ein Vertrag, durch den der Bestand einer Bausparkasse an Bausparverträgen mit den zugehörigen Aktiva und Passiva auf eine andere Bausparkasse oder auf mehrere andere Bausparkassen ganz oder teilweise übertragen werden soll, bedarf der Genehmigung der Bundesanstalt. Die Genehmigung ist von der Bundesanstalt im Bundesanzeiger zu veröffentlichen; sie gilt mit der Veröffentlichung den Bausparern als bekanntgegeben. Die Rechte und Pflichten der übertragenden Bausparkasse aus den Bausparverträgen gehen mit der Genehmigung auch im Verhältnis zu den Bausparern auf die übernehmende Bausparkasse über; § 415 des Bürgerlichen Gesetzbuchs ist nicht anzuwenden. Die Genehmigung darf nur versagt werden, wenn durch die Übertragung die Belange der Bausparer der übertragenden oder der übernehmenden Bausparkasse gefährdet werden.</w:t>
      </w:r>
    </w:p>
    <w:p>
      <w:r>
        <w:t xml:space="preserve">(2) Der Vertrag bedarf der Schriftform.</w:t>
      </w:r>
    </w:p>
    <w:p>
      <w:r>
        <w:t xml:space="preserve">(3) Zur Zusammenführung der Kollektive genehmigt die Bundesanstalt innerhalb von zwölf Monaten nach einer Übertragung nach Absatz 1 oder einer Verschmelzung der Bausparkasse auf Antrag Änderungen oder Ergänzungen der Allgemeinen Geschäftsgrundsätze und der Allgemeinen Bedingungen für Bausparverträge, sofern die Änderungen und Ergänzungen zur hinreichenden Wahrung der Belange der Bausparer erforderlich erscheinen, es sei denn, die Änderungen oder Ergänzungen erscheinen für die Zusammenführung der Bestände an Bausparverträgen nicht geeignet oder nicht erforderlich.</w:t>
      </w:r>
    </w:p>
    <w:p>
      <w:r>
        <w:rPr>
          <w:color w:val="555555"/>
          <w:sz w:val="17"/>
        </w:rPr>
        <w:t xml:space="preserve">Zitiervorschlag: § 14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