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BauSparkG — Besondere Pflichten des Prüfers</w:t>
      </w:r>
    </w:p>
    <w:p>
      <w:r>
        <w:rPr>
          <w:color w:val="555555"/>
          <w:sz w:val="18"/>
        </w:rPr>
        <w:t xml:space="preserve">Gesetz über Bausparkassen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Prüfung des Jahresabschlusses einer Bausparkasse hat der Prüfer auch festzustellen, ob</w:t>
      </w:r>
    </w:p>
    <w:p>
      <w:pPr>
        <w:ind w:left="420"/>
      </w:pPr>
      <w:r>
        <w:t xml:space="preserve">1. die Bausparsummen den Allgemeinen Bedingungen für Bausparverträge entsprechend zugeteilt worden sind,</w:t>
      </w:r>
    </w:p>
    <w:p>
      <w:pPr>
        <w:ind w:left="420"/>
      </w:pPr>
      <w:r>
        <w:t xml:space="preserve">2. die Bausparkasse die in § 5 Abs. 2 Nr. 2 bezeichnete Bestimmung der Allgemeinen Geschäftsgrundsätze und die in § 5 Abs. 3 Nr. 5 bezeichnete Bestimmung der Allgemeinen Bedingungen für Bausparverträge eingehalten hat und</w:t>
      </w:r>
    </w:p>
    <w:p>
      <w:pPr>
        <w:ind w:left="420"/>
      </w:pPr>
      <w:r>
        <w:t xml:space="preserve">3. die Vorschriften einer nach § 10 erlassenen Rechtsverordnung beachtet worden sind.</w:t>
      </w:r>
    </w:p>
    <w:p>
      <w:r>
        <w:t xml:space="preserve">Das Ergebnis ist in den Prüfungsbericht aufzunehmen.</w:t>
      </w:r>
    </w:p>
    <w:p>
      <w:r>
        <w:rPr>
          <w:color w:val="555555"/>
          <w:sz w:val="17"/>
        </w:rPr>
        <w:t xml:space="preserve">Zitiervorschlag: § 13 BauSparkG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https://recht.nulegal.eu/gesetze/BauSparkG/13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