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BauSparkG — Erlaß von Rechtsverordnungen</w:t>
      </w:r>
    </w:p>
    <w:p>
      <w:r>
        <w:rPr>
          <w:color w:val="555555"/>
          <w:sz w:val="18"/>
        </w:rPr>
        <w:t xml:space="preserve">Gesetz über Bausparkassen</w:t>
      </w:r>
    </w:p>
    <w:p>
      <w:r>
        <w:rPr>
          <w:color w:val="555555"/>
          <w:sz w:val="18"/>
        </w:rPr>
        <w:t xml:space="preserve">Stand: 10.06.2019 (konsolidierte Textfassung, kein amtliches Inkrafttretensdatum)</w:t>
      </w:r>
    </w:p>
    <w:p>
      <w:r>
        <w:t xml:space="preserve">Im Interesse der Erfüllung der Verpflichtungen der Bausparkassen gegenüber ihren Gläubigern, insbesondere zur Sicherung der ihnen anvertrauten Vermögenswerte und einer ausreichenden Zahlungsbereitschaft für die Zuteilung der Bausparsummen sowie zur dauerhaften Aufrechterhaltung einer möglichst gleichmäßigen Zuteilungsfolge kann der Bundesminister der Finanzen nach Anhörung der Deutschen Bundesbank und der Spitzenverbände der Bausparkassen durch Rechtsverordnung Vorschriften erlassen über</w:t>
      </w:r>
    </w:p>
    <w:p>
      <w:pPr>
        <w:ind w:left="420"/>
      </w:pPr>
      <w:r>
        <w:t xml:space="preserve">1. die näheren Voraussetzungen für die zwischenzeitliche Verwendung der Mittel der Zuteilungsmasse nach § 6 Absatz 1;</w:t>
      </w:r>
    </w:p>
    <w:p>
      <w:pPr>
        <w:ind w:left="420"/>
      </w:pPr>
      <w:r>
        <w:t xml:space="preserve">2. den zulässigen Anteil von Bausparverträgen, die einen in der Rechtsverordnung festzusetzenden Betrag übersteigen, (Großbausparverträge) am gesamten nicht zugeteilten Vertragssummenbestand der Bausparverträge einer Bausparkasse und den zulässigen Anteil von Großbausparverträgen, die innerhalb eines Kalenderjahres abgeschlossen werden, an der gesamten Vertragssumme der in diesem Jahr von der Bausparkasse abgeschlossenen Bausparverträge; dabei gelten die innerhalb von zwölf Monaten abgeschlossenen Verträge eines Bausparers als ein Vertrag; auf die zulässigen Anteile von Großbausparverträgen sind die Bausparverträge, auf die der Bausparer die nach den Allgemeinen Geschäftsgrundsätzen für eine Zuteilung erforderliche Mindestansparsumme innerhalb des ersten Jahres nach Vertragsabschluß eingezahlt hat, anzurechnen;</w:t>
      </w:r>
    </w:p>
    <w:p>
      <w:pPr>
        <w:ind w:left="420"/>
      </w:pPr>
      <w:r>
        <w:t xml:space="preserve">3. die Voraussetzungen für die Gewährung von Darlehen, die der Finanzierung von Bauvorhaben mit gewerblichem Charakter dienen, und den zulässigen Anteil solcher Darlehen am Gesamtbestand der Forderungen aus Darlehen einer Bausparkasse; der Anteil darf höchstens auf drei Prozent festgesetzt werden;</w:t>
      </w:r>
    </w:p>
    <w:p>
      <w:pPr>
        <w:ind w:left="420"/>
      </w:pPr>
      <w:r>
        <w:t xml:space="preserve">4. Prozentsätze des haftenden Eigenkapitals der Bausparkassen, bis zu denen Darlehen nach § 4 Abs. 1 Nr. 7 insgesamt sowie an ein Unternehmen gewährt werden dürfen;</w:t>
      </w:r>
    </w:p>
    <w:p>
      <w:pPr>
        <w:ind w:left="420"/>
      </w:pPr>
      <w:r>
        <w:t xml:space="preserve">4a. Anlagen gemäß § 4 Absatz 3 Satz 1, insbesondere durch quantitative und qualitative Vorgaben, die auch Beschränkungen enthalten können, die über die Anforderungen in § 4 Absatz 3 Satz 2 und 3 hinausgehen, wenn dies zur Gewährleistung einer möglichst großen Sicherheit und Rentabilität bei jederzeitiger Liquidität unter Wahrung angemessener Mischung und Streuung erforderlich erscheint;</w:t>
      </w:r>
    </w:p>
    <w:p>
      <w:pPr>
        <w:ind w:left="420"/>
      </w:pPr>
      <w:r>
        <w:t xml:space="preserve">5. taugliche Zusatzsicherheiten;</w:t>
      </w:r>
    </w:p>
    <w:p>
      <w:pPr>
        <w:ind w:left="420"/>
      </w:pPr>
      <w:r>
        <w:t xml:space="preserve">6. taugliche Ersatzsicherheiten sowie den zulässigen Anteil von Darlehen, für die Ersatzsicherheiten gestellt werden, am Gesamtbestand der Forderungen aus Darlehen einer Bausparkasse;</w:t>
      </w:r>
    </w:p>
    <w:p>
      <w:pPr>
        <w:ind w:left="420"/>
      </w:pPr>
      <w:r>
        <w:t xml:space="preserve">6a. den Betrag, bis zu dem eine Bausparkasse im Einzelfall Darlehen ohne Sicherheit nach § 7 Absatz 4 Nummer 2 und Darlehen gegen Abgabe einer Verpflichtungserklärung nach § 7 Absatz 4 Nummer 1 gewähren darf, sowie den zulässigen Anteil solcher Darlehen am Gesamtbestand der Forderungen aus Darlehen einer Bausparkasse; der Anteil darf höchstens auf 30 Prozent festgesetzt werden;</w:t>
      </w:r>
    </w:p>
    <w:p>
      <w:pPr>
        <w:ind w:left="420"/>
      </w:pPr>
      <w:r>
        <w:t xml:space="preserve">7. folgende Voraussetzungen und Anforderungen einschließlich der erforderlichen Begriffsbestimmungen:</w:t>
      </w:r>
    </w:p>
    <w:p>
      <w:pPr>
        <w:ind w:left="780"/>
      </w:pPr>
      <w:r>
        <w:t xml:space="preserve">a) die näheren Voraussetzungen des § 5 Absatz 1 bis 3, insbesondere Festlegung von Mindestanforderungen an Bestimmungen in den Allgemeinen Geschäftsgrundsätzen und den Allgemeinen Bedingungen für Bausparverträge,</w:t>
      </w:r>
    </w:p>
    <w:p>
      <w:pPr>
        <w:ind w:left="780"/>
      </w:pPr>
      <w:r>
        <w:t xml:space="preserve">b) die näheren Voraussetzungen des § 5 Absatz 4 und 5, etwa Bestimmungen zur tariflichen Zinsspanne,</w:t>
      </w:r>
    </w:p>
    <w:p>
      <w:pPr>
        <w:ind w:left="780"/>
      </w:pPr>
      <w:r>
        <w:t xml:space="preserve">c) die Mindestvoraussetzungen für die Zuteilung zur Gewährleistung eines angemessenen individuellen Sparer-Kassen-Leistungsverhältnisses, insbesondere die Mindestansparung und die Bemessung einer Mindestbewertungszahl,</w:t>
      </w:r>
    </w:p>
    <w:p>
      <w:pPr>
        <w:ind w:left="780"/>
      </w:pPr>
      <w:r>
        <w:t xml:space="preserve">d) die Voraussetzungen, unter denen die Bausparkasse ihre Zuteilungsvoraussetzungen anzupassen hat, sowie</w:t>
      </w:r>
    </w:p>
    <w:p>
      <w:pPr>
        <w:ind w:left="780"/>
      </w:pPr>
      <w:r>
        <w:t xml:space="preserve">e) die Anforderungen an das individuelle Sparer-Kassen-Leistungsverhältnis, insbesondere die Festlegung von dessen Ober- und Untergrenzen;</w:t>
      </w:r>
    </w:p>
    <w:p>
      <w:pPr>
        <w:ind w:left="420"/>
      </w:pPr>
      <w:r>
        <w:t xml:space="preserve">8. die Einzelheiten der Ermittlung der Mehrerträge nach § 6 Absatz 2 Satz 1 und 2 und ihrer Zuführung zum Sonderposten "Fonds zur bauspartechnischen Absicherung";</w:t>
      </w:r>
    </w:p>
    <w:p>
      <w:pPr>
        <w:ind w:left="420"/>
      </w:pPr>
      <w:r>
        <w:t xml:space="preserve">9. die näheren Voraussetzungen, unter denen der Sonderposten „Fonds zur bauspartechnischen Absicherung“ gemäß § 6 Absatz 2 Satz 3 bis 5 verwendet werden kann, und wann dieser spätestens zu verwenden ist sowie die näheren Voraussetzungen, unter denen dieser Sonderposten nach § 6 Absatz 2 Satz 6 aufgelöst werden kann, und wann dieser spätestens aufzulösen ist;</w:t>
      </w:r>
    </w:p>
    <w:p>
      <w:pPr>
        <w:ind w:left="420"/>
      </w:pPr>
      <w:r>
        <w:t xml:space="preserve">10. Verfahren und Methoden der Bausparkassen sowie die erforderlichen technischen Grundsätze der Bausparkassen, die zur Prüfung herangezogen werden können, ob</w:t>
      </w:r>
    </w:p>
    <w:p>
      <w:pPr>
        <w:ind w:left="780"/>
      </w:pPr>
      <w:r>
        <w:t xml:space="preserve">a) im Sinne des § 5 Absatz 4 die Allgemeinen Geschäftsgrundsätze und die Allgemeinen Bedingungen für Bausparverträge die Erfüllbarkeit der von der Bausparkasse übernommenen Verpflichtungen dauerhaft gewährleistet erscheinen lassen und keine Bestimmungen vorsehen, die die Zuteilung unangemessen hinausschieben, zu unangemessen langen Vertragslaufzeiten führen oder sonstige Belange der Bausparer nicht ausreichend wahren würden,</w:t>
      </w:r>
    </w:p>
    <w:p>
      <w:pPr>
        <w:ind w:left="780"/>
      </w:pPr>
      <w:r>
        <w:t xml:space="preserve">b) im Sinne des § 5 Absatz 5 Satz 1 zwischen Bauspartarifen eine weitgehende Ausgewogenheit gewährleistet ist,</w:t>
      </w:r>
    </w:p>
    <w:p>
      <w:pPr>
        <w:ind w:left="780"/>
      </w:pPr>
      <w:r>
        <w:t xml:space="preserve">c) im Sinne des § 6 Absatz 1 Satz 2 Nummer 2 die Bausparkasse auf Grund einer nachhaltig gesicherten Liquidität ihrer Zuteilungsmasse ohne die Zuführung von Eigenmitteln und Fremdmitteln und ohne die Mittel des Fonds zur bauspartechnischen Absicherung jederzeit in der Lage ist, Ansprüche auf Auszahlung der Bauspardarlehen und Bauspareinlagen zu befriedigen,</w:t>
      </w:r>
    </w:p>
    <w:p>
      <w:pPr>
        <w:ind w:left="780"/>
      </w:pPr>
      <w:r>
        <w:t xml:space="preserve">d) im Sinne des § 6 Absatz 2 Satz 4 die Belange der Bausparer hinreichend gewahrt werden,</w:t>
      </w:r>
    </w:p>
    <w:p>
      <w:pPr>
        <w:ind w:left="780"/>
      </w:pPr>
      <w:r>
        <w:t xml:space="preserve">e) im Sinne des § 6 Absatz 2 Satz 4 ein bausparspezifisches Risiko für den nachhaltigen Betrieb des Bauspargeschäfts vorliegt,</w:t>
      </w:r>
    </w:p>
    <w:p>
      <w:pPr>
        <w:ind w:left="780"/>
      </w:pPr>
      <w:r>
        <w:t xml:space="preserve">f) im Sinne des § 6 Absatz 2 Satz 5 Nummer 1 die Wartezeiten unangemessen lang sind,</w:t>
      </w:r>
    </w:p>
    <w:p>
      <w:pPr>
        <w:ind w:left="780"/>
      </w:pPr>
      <w:r>
        <w:t xml:space="preserve">g) im Sinne des § 6 Absatz 2 Satz 5 Nummer 2 die Zuteilung nicht gewährleistet erscheint,</w:t>
      </w:r>
    </w:p>
    <w:p>
      <w:pPr>
        <w:ind w:left="780"/>
      </w:pPr>
      <w:r>
        <w:t xml:space="preserve">h) im Sinne des § 6 Absatz 2 Satz 5 Nummer 3 die Erfüllung der von der Bausparkasse in den Bausparverträgen übernommenen Verpflichtungen nicht gewährleistet erscheint,</w:t>
      </w:r>
    </w:p>
    <w:p>
      <w:pPr>
        <w:ind w:left="780"/>
      </w:pPr>
      <w:r>
        <w:t xml:space="preserve">i) im Sinne des § 9 Absatz 1 Satz 2 und § 14 Absatz 3 die Änderungen und Ergänzungen zur hinreichenden Wahrung der Belange der Bausparer erforderlich erscheinen,</w:t>
      </w:r>
    </w:p>
    <w:p>
      <w:pPr>
        <w:ind w:left="780"/>
      </w:pPr>
      <w:r>
        <w:t xml:space="preserve">j) im Sinne des § 14 Absatz 1 Satz 4 durch die Übertragung die Belange der Bausparer der übertragenden oder der übernehmenden Bausparkasse gefährdet werden und</w:t>
      </w:r>
    </w:p>
    <w:p>
      <w:pPr>
        <w:ind w:left="780"/>
      </w:pPr>
      <w:r>
        <w:t xml:space="preserve">k) im Sinne des § 16 Absatz 3 Satz 2 der Plan für eine geordnete Abwicklung unter Berücksichtigung der Belange der Bausparer keine Gewähr zu bieten scheint;</w:t>
      </w:r>
    </w:p>
    <w:p>
      <w:pPr>
        <w:ind w:left="420"/>
      </w:pPr>
      <w:r>
        <w:t xml:space="preserve">11. nähere Bestimmungen über Art, Umfang, Zeitpunkt und Form der Unterlagen und Informationen, die die Bausparkasse nach § 3 Absatz 4 dem Antrag beizufügen hat;</w:t>
      </w:r>
    </w:p>
    <w:p>
      <w:pPr>
        <w:ind w:left="420"/>
      </w:pPr>
      <w:r>
        <w:t xml:space="preserve">12. nähere Bestimmungen über Art, Umfang, Zeitpunkt und Form der kollektiven Lageberichte, die die Bausparkasse gemäß § 3 Absatz 5 zu erstellen hat, insbesondere die Festlegung von Szenarien, Größen, Parametern, Stichtagen und Berechnungsmethoden für den kollektiven Lagebericht einschließlich der Fortschreibungen und Prognosen, sowie die Bestimmung von Form und Frist, in der der kollektive Lagebericht vorzulegen ist;</w:t>
      </w:r>
    </w:p>
    <w:p>
      <w:pPr>
        <w:ind w:left="420"/>
      </w:pPr>
      <w:r>
        <w:t xml:space="preserve">13. nähere Bestimmungen über die Anforderungen an ein bauspartechnisches Simulationsmodell nach § 8 Absatz 4 und dessen Anwendungsbereich sowie über Art, Umfang und Form der Ergebnisse eines bausparspezifischen Simulationsmodells und unbeschadet des § 3 Absatz 6 über den Zeitpunkt, zu dem diese Ergebnisse der Bundesanstalt vorzulegen sind;</w:t>
      </w:r>
    </w:p>
    <w:p>
      <w:pPr>
        <w:ind w:left="420"/>
      </w:pPr>
      <w:r>
        <w:t xml:space="preserve">14. nähere Bestimmungen über</w:t>
      </w:r>
    </w:p>
    <w:p>
      <w:pPr>
        <w:ind w:left="780"/>
      </w:pPr>
      <w:r>
        <w:t xml:space="preserve">a) den Gegenstand der nach § 8 Absatz 5 vorzunehmenden Prüfung sowie den Zeitpunkt ihrer Durchführung und</w:t>
      </w:r>
    </w:p>
    <w:p>
      <w:pPr>
        <w:ind w:left="780"/>
      </w:pPr>
      <w:r>
        <w:t xml:space="preserve">b) den Inhalt der nach § 8 Absatz 5 zu erstellenden Prüfungsberichte und der Bestätigungsvermerke sowie über den Zeitpunkt, zu dem diese jeweils der Bundesanstalt einzureichen sind.</w:t>
      </w:r>
    </w:p>
    <w:p>
      <w:r>
        <w:t xml:space="preserve">Der Bundesminister der Finanzen kann diese Ermächtigung durch Rechtsverordnung auf die Bundesanstalt übertragen.</w:t>
      </w:r>
    </w:p>
    <w:p>
      <w:r>
        <w:rPr>
          <w:color w:val="555555"/>
          <w:sz w:val="17"/>
        </w:rPr>
        <w:t xml:space="preserve">Zitiervorschlag: § 10 BauSparkG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https://recht.nulegal.eu/gesetze/BauSparkG/10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