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BauSparVetrAbwV</w:t>
      </w:r>
    </w:p>
    <w:p>
      <w:r>
        <w:rPr>
          <w:color w:val="555555"/>
          <w:sz w:val="18"/>
        </w:rPr>
        <w:t xml:space="preserve">Durchführungs- und Ergänzungsverordnung über die vereinfachte Abwicklung von Bausparverträgen</w:t>
      </w:r>
    </w:p>
    <w:p>
      <w:r>
        <w:rPr>
          <w:color w:val="555555"/>
          <w:sz w:val="18"/>
        </w:rPr>
        <w:t xml:space="preserve">Historische Fassung: Stand 10.06.2019 bis 01.04.2026. Dies ist nicht die aktuelle Fassung.</w:t>
      </w:r>
    </w:p>
    <w:p>
      <w:r>
        <w:t xml:space="preserve">Ordnet das Reichsaufsichtsamt die vereinfachte Abwicklung an, nachdem eine Bausparkasse den Geschäftsbetrieb freiwillig eingestellt hat, so kann es bestimmen, daß seine Anordnung wie ein Auflösungsbeschluß wirkt.</w:t>
      </w:r>
    </w:p>
    <w:p>
      <w:r>
        <w:rPr>
          <w:color w:val="555555"/>
          <w:sz w:val="17"/>
        </w:rPr>
        <w:t xml:space="preserve">Zitiervorschlag: Art 5 BauSparVetrAbwV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https://recht.nulegal.eu/gesetze/BauSparVetrAbwV/5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