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BauPGPÜZAnerkV — Inkrafttreten</w:t>
      </w:r>
    </w:p>
    <w:p>
      <w:r>
        <w:rPr>
          <w:color w:val="555555"/>
          <w:sz w:val="18"/>
        </w:rPr>
        <w:t xml:space="preserve">BauPG-PÜZ-Anerkennungsverordnung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13 BauPGPÜZAnerkV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https://recht.nulegal.eu/gesetze/BauPGP%C3%9CZAnerkV/13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BauPGPÜZAnerkV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