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BauPG 2013 — Antrag auf Notifizierung nach der Verordnung (EU) Nr. 305/2011</w:t>
      </w:r>
    </w:p>
    <w:p>
      <w:r>
        <w:rPr>
          <w:color w:val="555555"/>
          <w:sz w:val="18"/>
        </w:rPr>
        <w:t xml:space="preserve">Bauproduktengesetz</w:t>
      </w:r>
    </w:p>
    <w:p>
      <w:r>
        <w:rPr>
          <w:color w:val="555555"/>
          <w:sz w:val="18"/>
        </w:rPr>
        <w:t xml:space="preserve">Stand: 15.01.2026 (konsolidierte Textfassung, kein amtliches Inkrafttretensdatum)</w:t>
      </w:r>
    </w:p>
    <w:p>
      <w:r>
        <w:t xml:space="preserve">Dem Antrag auf Notifizierung nach Artikel 47 Absatz 1 der Verordnung (EU) Nr. 305/2011 ist die in Artikel 47 Absatz 2 genannte Akkreditierungsurkunde der Deutschen Akkreditierungsstelle GmbH beizufügen.</w:t>
      </w:r>
    </w:p>
    <w:p>
      <w:r>
        <w:rPr>
          <w:color w:val="555555"/>
          <w:sz w:val="17"/>
        </w:rPr>
        <w:t xml:space="preserve">Zitiervorschlag: § 2 BauPG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https://recht.nulegal.eu/gesetze/BauPG%202013/2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