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BauPG 2013 — Strafvorschriften</w:t>
      </w:r>
    </w:p>
    <w:p>
      <w:r>
        <w:rPr>
          <w:color w:val="555555"/>
          <w:sz w:val="18"/>
        </w:rPr>
        <w:t xml:space="preserve">Bauproduktengesetz</w:t>
      </w:r>
    </w:p>
    <w:p>
      <w:r>
        <w:rPr>
          <w:color w:val="555555"/>
          <w:sz w:val="18"/>
        </w:rPr>
        <w:t xml:space="preserve">Stand: 15.01.2026 (konsolidierte Textfassung, kein amtliches Inkrafttretensdatum)</w:t>
      </w:r>
    </w:p>
    <w:p>
      <w:r>
        <w:t xml:space="preserve">Mit Freiheitsstrafe bis zu einem Jahr oder mit Geldstrafe wird bestraft, wer eine in § 10 Absatz 2 Nummer 2 Buchstabe a, Nummer 5, 9, 14 oder Absatz 3 Nummer 6, 9, 18, 21, 22, 26 bezeichnete vorsätzliche Handlung beharrlich wiederholt oder durch eine solche vorsätzliche Handlung Leben oder Gesundheit eines anderen oder fremde Sachen von bedeutendem Wert gefährdet.</w:t>
      </w:r>
    </w:p>
    <w:p>
      <w:r>
        <w:rPr>
          <w:color w:val="555555"/>
          <w:sz w:val="17"/>
        </w:rPr>
        <w:t xml:space="preserve">Zitiervorschlag: § 11 BauPG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https://recht.nulegal.eu/gesetze/BauPG%202013/11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