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BauPAV (Bayern)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19 Abs. 4 bis 6, Art. 23 Abs. 1 Satz 4 und Abs. 2, Art. 90 Abs. 2 Nrn. 1 und 2 und Abs. 7 und Art. 92 Satz 1 Nr. 3 und Satz 2 der Bayerischen Bauordnung (BayBO) in der Fassung der Bekanntmachung vom 4. August 1997 (GVBl S. 433, BayRS 2132-1-I), zuletzt geändert durch Gesetz vom 24. Juli 1998 (GVBl S. 439),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