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BauPÜAnO — Typenprüfung - Prüfung Fliegender Bauten</w:t>
      </w:r>
    </w:p>
    <w:p>
      <w:r>
        <w:rPr>
          <w:color w:val="555555"/>
          <w:sz w:val="18"/>
        </w:rPr>
        <w:t xml:space="preserve">Anordnung über Bauvorlagen, Bautechnische Prüfungen und Überwachung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bauliche Anlagen und Bauteile, die in gleicher Ausführung an mehreren Stellen errichtet oder verwendet werden, können mit dem Bauantrag bereits geprüfte Nachweise der Standsicherheit und des Schallschutzes eingereicht werden; diese Nachweise müssen von einem Prüfamt allgemein geprüft sein (Typenprüfung).</w:t>
      </w:r>
    </w:p>
    <w:p>
      <w:r>
        <w:t xml:space="preserve">(2) Die Geltungsdauer einer Typenprüfung ist unter dem Vorbehalt des Widerrufs auf höchstens fünf Jahre zu befristen. Sie kann auf schriftlichen Antrag um jeweils höchstens fünf Jahre verlängert werden.</w:t>
      </w:r>
    </w:p>
    <w:p>
      <w:r>
        <w:t xml:space="preserve">(3) Die Nachweise der Standsicherheit Fliegender Bauten dürfen nur von einem Prüfamt geprüft werden.</w:t>
      </w:r>
    </w:p>
    <w:p>
      <w:r>
        <w:rPr>
          <w:color w:val="555555"/>
          <w:sz w:val="17"/>
        </w:rPr>
        <w:t xml:space="preserve">Zitiervorschlag: § 21 BauPÜAnO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https://recht.nulegal.eu/gesetze/BauP%C3%9CAnO/21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