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4a BauNVO — Gebiete zur Erhaltung und Entwicklung der Wohnnutzung (besondere Wohngebiete)</w:t>
      </w:r>
    </w:p>
    <w:p>
      <w:r>
        <w:rPr>
          <w:color w:val="555555"/>
          <w:sz w:val="18"/>
        </w:rPr>
        <w:t xml:space="preserve">Baunutzungsverordnung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Besondere Wohngebiete sind überwiegend bebaute Gebiete, die aufgrund ausgeübter Wohnnutzung und vorhandener sonstiger in Absatz 2 genannter Anlagen eine besondere Eigenart aufweisen und in denen unter Berücksichtigung dieser Eigenart die Wohnnutzung erhalten und fortentwickelt werden soll. Besondere Wohngebiete dienen vorwiegend dem Wohnen; sie dienen auch der Unterbringung von Gewerbebetrieben und sonstigen Anlagen im Sinne der Absätze 2 und 3, soweit diese Betriebe und Anlagen nach der besonderen Eigenart des Gebiets mit der Wohnnutzung vereinbar sind.</w:t>
      </w:r>
    </w:p>
    <w:p>
      <w:r>
        <w:t xml:space="preserve">(2) Zulässig sind</w:t>
      </w:r>
    </w:p>
    <w:p>
      <w:pPr>
        <w:ind w:left="420"/>
      </w:pPr>
      <w:r>
        <w:t xml:space="preserve">1. Wohngebäude,</w:t>
      </w:r>
    </w:p>
    <w:p>
      <w:pPr>
        <w:ind w:left="420"/>
      </w:pPr>
      <w:r>
        <w:t xml:space="preserve">2. Läden, Betriebe des Beherbergungsgewerbes, Schank- und Speisewirtschaften,</w:t>
      </w:r>
    </w:p>
    <w:p>
      <w:pPr>
        <w:ind w:left="420"/>
      </w:pPr>
      <w:r>
        <w:t xml:space="preserve">3. sonstige Gewerbebetriebe,</w:t>
      </w:r>
    </w:p>
    <w:p>
      <w:pPr>
        <w:ind w:left="420"/>
      </w:pPr>
      <w:r>
        <w:t xml:space="preserve">4. Geschäfts- und Bürogebäude,</w:t>
      </w:r>
    </w:p>
    <w:p>
      <w:pPr>
        <w:ind w:left="420"/>
      </w:pPr>
      <w:r>
        <w:t xml:space="preserve">5. Anlagen für kirchliche, kulturelle, soziale, gesundheitliche und sportliche Zwecke.</w:t>
      </w:r>
    </w:p>
    <w:p>
      <w:r>
        <w:t xml:space="preserve">(3) Ausnahmsweise können zugelassen werden</w:t>
      </w:r>
    </w:p>
    <w:p>
      <w:pPr>
        <w:ind w:left="420"/>
      </w:pPr>
      <w:r>
        <w:t xml:space="preserve">1. Anlagen für zentrale Einrichtungen der Verwaltung,</w:t>
      </w:r>
    </w:p>
    <w:p>
      <w:pPr>
        <w:ind w:left="420"/>
      </w:pPr>
      <w:r>
        <w:t xml:space="preserve">2. Vergnügungsstätten, soweit sie nicht wegen ihrer Zweckbestimmung oder ihres Umfangs nur in Kerngebieten allgemein zulässig sind,</w:t>
      </w:r>
    </w:p>
    <w:p>
      <w:pPr>
        <w:ind w:left="420"/>
      </w:pPr>
      <w:r>
        <w:t xml:space="preserve">3. Tankstellen.</w:t>
      </w:r>
    </w:p>
    <w:p>
      <w:r>
        <w:t xml:space="preserve">(4) Für besondere Wohngebiete oder Teile solcher Gebiete kann, wenn besondere städtebauliche Gründe dies rechtfertigen (§ 9 Absatz 3 des Baugesetzbuchs), festgesetzt werden, dass</w:t>
      </w:r>
    </w:p>
    <w:p>
      <w:pPr>
        <w:ind w:left="420"/>
      </w:pPr>
      <w:r>
        <w:t xml:space="preserve">1. oberhalb eines im Bebauungsplan bestimmten Geschosses nur Wohnungen zulässig sind oder</w:t>
      </w:r>
    </w:p>
    <w:p>
      <w:pPr>
        <w:ind w:left="420"/>
      </w:pPr>
      <w:r>
        <w:t xml:space="preserve">2. in Gebäuden ein im Bebauungsplan bestimmter Anteil der zulässigen Geschossfläche oder eine bestimmte Größe der Geschossfläche für Wohnungen zu verwenden ist.</w:t>
      </w:r>
    </w:p>
    <w:p>
      <w:r>
        <w:rPr>
          <w:color w:val="555555"/>
          <w:sz w:val="17"/>
        </w:rPr>
        <w:t xml:space="preserve">Zitiervorschlag: § 4a BauNVO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https://recht.nulegal.eu/gesetze/BauNVO/4a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