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BauNVO — Reine Wohngebiete</w:t>
      </w:r>
    </w:p>
    <w:p>
      <w:r>
        <w:rPr>
          <w:color w:val="555555"/>
          <w:sz w:val="18"/>
        </w:rPr>
        <w:t xml:space="preserve">Baunutzungsverordnung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Reine Wohngebiete dienen dem Wohnen.</w:t>
      </w:r>
    </w:p>
    <w:p>
      <w:r>
        <w:t xml:space="preserve">(2) Zulässig sind</w:t>
      </w:r>
    </w:p>
    <w:p>
      <w:pPr>
        <w:ind w:left="420"/>
      </w:pPr>
      <w:r>
        <w:t xml:space="preserve">1. Wohngebäude,</w:t>
      </w:r>
    </w:p>
    <w:p>
      <w:pPr>
        <w:ind w:left="420"/>
      </w:pPr>
      <w:r>
        <w:t xml:space="preserve">2. Anlagen zur Kinderbetreuung, die den Bedürfnissen der Bewohner des Gebiets dienen.</w:t>
      </w:r>
    </w:p>
    <w:p>
      <w:r>
        <w:t xml:space="preserve">(3) Ausnahmsweise können zugelassen werden</w:t>
      </w:r>
    </w:p>
    <w:p>
      <w:pPr>
        <w:ind w:left="420"/>
      </w:pPr>
      <w:r>
        <w:t xml:space="preserve">1. Läden und nicht störende Handwerksbetriebe, die zur Deckung des täglichen Bedarfs für die Bewohner des Gebiets dienen, sowie kleine Betriebe des Beherbergungsgewerbes,</w:t>
      </w:r>
    </w:p>
    <w:p>
      <w:pPr>
        <w:ind w:left="420"/>
      </w:pPr>
      <w:r>
        <w:t xml:space="preserve">2. sonstige Anlagen für soziale Zwecke sowie den Bedürfnissen der Bewohner des Gebiets dienende Anlagen für kirchliche, kulturelle, gesundheitliche und sportliche Zwecke.</w:t>
      </w:r>
    </w:p>
    <w:p>
      <w:r>
        <w:t xml:space="preserve">(4) Zu den nach Absatz 2 sowie den §§ 2, 4 bis 7 zulässigen Wohngebäuden gehören auch solche, die ganz oder teilweise der Betreuung und Pflege ihrer Bewohner dienen.</w:t>
      </w:r>
    </w:p>
    <w:p>
      <w:r>
        <w:rPr>
          <w:color w:val="555555"/>
          <w:sz w:val="17"/>
        </w:rPr>
        <w:t xml:space="preserve">Zitiervorschlag: § 3 BauNVO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https://recht.nulegal.eu/gesetze/BauNVO/3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