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25f BauNVO — Überleitungsvorschrift aus Anlass des Gesetzes zur sofortigen Verbesserung der Rahmenbedingungen für die erneuerbaren Energien im Städtebaurecht</w:t>
      </w:r>
    </w:p>
    <w:p>
      <w:r>
        <w:rPr>
          <w:color w:val="555555"/>
          <w:sz w:val="18"/>
        </w:rPr>
        <w:t xml:space="preserve">Baunutzungsverordnung</w:t>
      </w:r>
    </w:p>
    <w:p>
      <w:r>
        <w:rPr>
          <w:color w:val="555555"/>
          <w:sz w:val="18"/>
        </w:rPr>
        <w:t xml:space="preserve">Stand: 12.01.2023 (konsolidierte Textfassung, kein amtliches Inkrafttretensdatum)</w:t>
      </w:r>
    </w:p>
    <w:p>
      <w:r>
        <w:t xml:space="preserve">Ist der Entwurf eines Bauleitplans vor dem 1. Januar 2023 nach § 3 Absatz 2 des Baugesetzbuchs öffentlich ausgelegt oder nach § 3 Absatz 1 des Planungssicherstellungsgesetzes im Internet veröffentlicht worden, ist auf ihn diese Verordnung in der bis zum 1. Januar 2023 geltenden Fassung anzuwenden. Das Recht der Gemeinde, das Verfahren zur Aufstellung des Bauleitplans erneut einzuleiten, bleibt unberührt.</w:t>
      </w:r>
    </w:p>
    <w:p>
      <w:r>
        <w:rPr>
          <w:color w:val="555555"/>
          <w:sz w:val="17"/>
        </w:rPr>
        <w:t xml:space="preserve">Zitiervorschlag: § 25f BauNVO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https://recht.nulegal.eu/gesetze/BauNVO/25f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