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25a BauNVO — Überleitungsvorschriften aus Anlaß der zweiten Änderungsverordnung</w:t>
      </w:r>
    </w:p>
    <w:p>
      <w:r>
        <w:rPr>
          <w:color w:val="555555"/>
          <w:sz w:val="18"/>
        </w:rPr>
        <w:t xml:space="preserve">Baunutzungsverordnung</w:t>
      </w:r>
    </w:p>
    <w:p>
      <w:r>
        <w:rPr>
          <w:color w:val="555555"/>
          <w:sz w:val="18"/>
        </w:rPr>
        <w:t xml:space="preserve">Stand: 10.06.2019 (konsolidierte Textfassung, kein amtliches Inkrafttretensdatum)</w:t>
      </w:r>
    </w:p>
    <w:p>
      <w:r>
        <w:t xml:space="preserve">(1) Für Bauleitpläne, deren Aufstellung oder Änderung bereits eingeleitet ist, gilt diese Verordnung in ihrer bis zum Inkrafttreten der Zweiten Verordnung zur Änderung dieser Verordnung vom 15. September 1977 (BGBl. I S. 1757) gültigen Fassung, wenn die Pläne bei Inkrafttreten der zweiten Änderungsverordnung nach § 2a Absatz 6 des Bundesbaugesetzes oder § 2 Absatz 6 des Bundesbaugesetzes in der bis zum 1. Januar 1977 geltenden Fassung ausgelegt sind.</w:t>
      </w:r>
    </w:p>
    <w:p>
      <w:r>
        <w:t xml:space="preserve">(2) Von der Geltung der Vorschriften der zweiten Änderungsverordnung über gesonderte Festsetzungen für übereinanderliegende Geschosse und Ebenen sowie sonstige Teile baulicher Anlagen sind solche Bebauungspläne ausgenommen, auf die § 9 Absatz 3 des Bundesbaugesetzes in der ab 1. Januar 1977 geltenden Fassung nach Maßgabe des Artikels 3 § 1 Absatz 3 des Gesetzes zur Änderung des Bundesbaugesetzes vom 18. August 1976 (BGBl. I S. 2221) keine Anwendung findet. Auf diese Bebauungspläne finden die Vorschriften dieser Verordnung über gesonderte Festsetzungen für übereinanderliegende Geschosse und Ebenen und sonstige Teile baulicher Anlagen in der bis zum Inkrafttreten der zweiten Änderungsverordnung gültigen Fassung weiterhin Anwendung.</w:t>
      </w:r>
    </w:p>
    <w:p>
      <w:r>
        <w:rPr>
          <w:color w:val="555555"/>
          <w:sz w:val="17"/>
        </w:rPr>
        <w:t xml:space="preserve">Zitiervorschlag: § 25a BauNVO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https://recht.nulegal.eu/gesetze/BauNVO/25a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