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BauNVO — Überbaubare Grundstücksfläche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überbaubaren Grundstücksflächen können durch die Festsetzung von Baulinien, Baugrenzen oder Bebauungstiefen bestimmt werden. § 16 Absatz 5 ist entsprechend anzuwenden.</w:t>
      </w:r>
    </w:p>
    <w:p>
      <w:r>
        <w:t xml:space="preserve">(2) Ist eine Baulinie festgesetzt, so muss auf dieser Linie gebaut werden. Ein Vor- oder Zurücktreten von Gebäudeteilen in geringfügigem Ausmaß kann zugelassen werden. Im Bebauungsplan können weitere nach Art und Umfang bestimmte Ausnahmen vorgesehen werden.</w:t>
      </w:r>
    </w:p>
    <w:p>
      <w:r>
        <w:t xml:space="preserve">(3) Ist eine Baugrenze festgesetzt, so dürfen Gebäude und Gebäudeteile diese nicht überschreiten. Ein Vortreten von Gebäudeteilen in geringfügigem Ausmaß kann zugelassen werden. Absatz 2 Satz 3 gilt entsprechend.</w:t>
      </w:r>
    </w:p>
    <w:p>
      <w:r>
        <w:t xml:space="preserve">(4) Ist eine Bebauungstiefe festgesetzt, so gilt Absatz 3 entsprechend. Die Bebauungstiefe ist von der tatsächlichen Straßengrenze ab zu ermitteln, sofern im Bebauungsplan nichts anderes festgesetzt ist.</w:t>
      </w:r>
    </w:p>
    <w:p>
      <w:r>
        <w:t xml:space="preserve">(5) Wenn im Bebauungsplan nichts anderes festgesetzt ist, können auf den nicht überbaubaren Grundstücksflächen Nebenanlagen im Sinne des § 14 zugelassen werden. Das Gleiche gilt für bauliche Anlagen, soweit sie nach Landesrecht in den Abstandsflächen zulässig sind oder zugelassen werden können.</w:t>
      </w:r>
    </w:p>
    <w:p>
      <w:r>
        <w:rPr>
          <w:color w:val="555555"/>
          <w:sz w:val="17"/>
        </w:rPr>
        <w:t xml:space="preserve">Zitiervorschlag: § 23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https://recht.nulegal.eu/gesetze/BauNVO/23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BauNVO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