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BauNVO — Orientierungswerte für die Bestimmung des Maßes der baulichen Nutzung</w:t>
      </w:r>
    </w:p>
    <w:p>
      <w:r>
        <w:rPr>
          <w:color w:val="555555"/>
          <w:sz w:val="18"/>
        </w:rPr>
        <w:t xml:space="preserve">Baunutzungsverordnung</w:t>
      </w:r>
    </w:p>
    <w:p>
      <w:r>
        <w:rPr>
          <w:color w:val="555555"/>
          <w:sz w:val="18"/>
        </w:rPr>
        <w:t xml:space="preserve">Stand: 23.06.2021 (konsolidierte Textfassung, kein amtliches Inkrafttretensdatum)</w:t>
      </w:r>
    </w:p>
    <w:p>
      <w:r>
        <w:t xml:space="preserve">Bei der Bestimmung des Maßes der baulichen Nutzung nach § 16 bestehen, auch wenn eine Geschossflächenzahl oder eine Baumassenzahl nicht dargestellt oder festgesetzt wird, folgende Orientierungswerte für Obergrenzen: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Baugebiet    Grund- flächenzahl (GRZ)    Geschoss- flächenzahl (GFZ)    Bau- massenzahl (BMZ)</w:t>
      </w:r>
    </w:p>
    <w:p>
      <w:r>
        <w:rPr>
          <w:rFonts w:ascii="Courier New" w:hAnsi="Courier New"/>
          <w:sz w:val="17"/>
        </w:rPr>
        <w:t xml:space="preserve">in    Kleinsiedlungsgebieten (WS)    0,2    0,4    –</w:t>
      </w:r>
    </w:p>
    <w:p>
      <w:r>
        <w:rPr>
          <w:rFonts w:ascii="Courier New" w:hAnsi="Courier New"/>
          <w:sz w:val="17"/>
        </w:rPr>
        <w:t xml:space="preserve">in    reinen Wohngebieten (WR) allgemeinen Wohngebieten (WA) Ferienhausgebieten    0,4    1,2    –</w:t>
      </w:r>
    </w:p>
    <w:p>
      <w:r>
        <w:rPr>
          <w:rFonts w:ascii="Courier New" w:hAnsi="Courier New"/>
          <w:sz w:val="17"/>
        </w:rPr>
        <w:t xml:space="preserve">in    besonderen Wohngebieten (WB)    0,6    1,6    –</w:t>
      </w:r>
    </w:p>
    <w:p>
      <w:r>
        <w:rPr>
          <w:rFonts w:ascii="Courier New" w:hAnsi="Courier New"/>
          <w:sz w:val="17"/>
        </w:rPr>
        <w:t xml:space="preserve">in    Dorfgebieten (MD) Mischgebieten (MI) dörflichen Wohngebieten (MDW)    0,6    1,2    –</w:t>
      </w:r>
    </w:p>
    <w:p>
      <w:r>
        <w:rPr>
          <w:rFonts w:ascii="Courier New" w:hAnsi="Courier New"/>
          <w:sz w:val="17"/>
        </w:rPr>
        <w:t xml:space="preserve">in    urbanen Gebieten (MU)    0,8    3,0    –</w:t>
      </w:r>
    </w:p>
    <w:p>
      <w:r>
        <w:rPr>
          <w:rFonts w:ascii="Courier New" w:hAnsi="Courier New"/>
          <w:sz w:val="17"/>
        </w:rPr>
        <w:t xml:space="preserve">in    Kerngebieten (MK)    1,0    3,0    –</w:t>
      </w:r>
    </w:p>
    <w:p>
      <w:r>
        <w:rPr>
          <w:rFonts w:ascii="Courier New" w:hAnsi="Courier New"/>
          <w:sz w:val="17"/>
        </w:rPr>
        <w:t xml:space="preserve">in    Gewerbegebieten (GE) Industriegebieten (GI) sonstigen Sondergebieten    0,8    2,4    10,0</w:t>
      </w:r>
    </w:p>
    <w:p>
      <w:r>
        <w:rPr>
          <w:rFonts w:ascii="Courier New" w:hAnsi="Courier New"/>
          <w:sz w:val="17"/>
        </w:rPr>
        <w:t xml:space="preserve">in    Wochenendhausgebieten    0,2    0,2    –</w:t>
      </w:r>
    </w:p>
    <w:p>
      <w:r>
        <w:t xml:space="preserve">In Wochenendhausgebieten und Ferienhausgebieten dürfen die Orientierungswerte für Obergrenzen nach Satz 1 nicht überschritten werden.</w:t>
      </w:r>
    </w:p>
    <w:p>
      <w:r>
        <w:rPr>
          <w:color w:val="555555"/>
          <w:sz w:val="17"/>
        </w:rPr>
        <w:t xml:space="preserve">Zitiervorschlag: § 17 BauNVO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https://recht.nulegal.eu/gesetze/BauNVO/17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