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13a BauNVO — Ferienwohnungen</w:t>
      </w:r>
    </w:p>
    <w:p>
      <w:r>
        <w:rPr>
          <w:color w:val="555555"/>
          <w:sz w:val="18"/>
        </w:rPr>
        <w:t xml:space="preserve">Baunutzungsverordnung</w:t>
      </w:r>
    </w:p>
    <w:p>
      <w:r>
        <w:rPr>
          <w:color w:val="555555"/>
          <w:sz w:val="18"/>
        </w:rPr>
        <w:t xml:space="preserve">Stand: 23.06.2021 (konsolidierte Textfassung, kein amtliches Inkrafttretensdatum)</w:t>
      </w:r>
    </w:p>
    <w:p>
      <w:r>
        <w:t xml:space="preserve">Räume oder Gebäude, die einem ständig wechselnden Kreis von Gästen gegen Entgelt vorübergehend zur Unterkunft zur Verfügung gestellt werden und die zur Begründung einer eigenen Häuslichkeit geeignet und bestimmt sind (Ferienwohnungen), gehören unbeschadet des § 10 in der Regel zu den nicht störenden Gewerbebetrieben nach § 2 Absatz 3 Nummer 4 und § 4 Absatz 3 Nummer 2 oder zu den Gewerbebetrieben nach § 4a Absatz 2 Nummer 3, § 5 Absatz 2 Nummer 6, § 5a Absatz 2 Nummer 7, § 6 Absatz 2 Nummer 4, § 6a Absatz 2 Nummer 4 und § 7 Absatz 2 Nummer 3. Abweichend von Satz 1 können Räume nach Satz 1 in den übrigen Fällen insbesondere bei einer baulich untergeordneten Bedeutung gegenüber der in dem Gebäude vorherrschenden Hauptnutzung zu den Betrieben des Beherbergungsgewerbes nach § 4 Absatz 3 Nummer 1, § 4a Absatz 2 Nummer 2, § 5 Absatz 2 Nummer 5, § 5a Absatz 2 Nummer 6, § 6 Absatz 2 Nummer 3, § 6a Absatz 2 Nummer 3 und § 7 Absatz 2 Nummer 2 oder zu den kleinen Betrieben des Beherbergungsgewerbes nach § 3 Absatz 3 Nummer 1 gehören.</w:t>
      </w:r>
    </w:p>
    <w:p>
      <w:r>
        <w:rPr>
          <w:color w:val="555555"/>
          <w:sz w:val="17"/>
        </w:rPr>
        <w:t xml:space="preserve">Zitiervorschlag: § 13a BauNVO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https://recht.nulegal.eu/gesetze/BauNVO/13a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