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BauKaV (Bayern)</w:t>
      </w:r>
    </w:p>
    <w:p>
      <w:r>
        <w:rPr>
          <w:color w:val="555555"/>
          <w:sz w:val="18"/>
        </w:rPr>
        <w:t xml:space="preserve">Baukammernverordnung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33 des Gesetzes über die Bayerische Architektenkammer und die Bayerische Ingenieurekammer-Bau (Baukammerngesetz – BauKaG) vom 9. Mai 2007 (GVBl S. 308, BayRS 2133-1-I)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BauKaV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