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BauKaV (Bayern) — Anwendungsbereich</w:t>
      </w:r>
    </w:p>
    <w:p>
      <w:r>
        <w:rPr>
          <w:color w:val="555555"/>
          <w:sz w:val="18"/>
        </w:rPr>
        <w:t xml:space="preserve">Baukammernverordnung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Die Vorschriften dieses Teils gelten für die Einführung neuer oder die Änderung bestehender Vorschriften, die dem Anwendungsbereich der Richtlinie 2005/36/EG unterfallen und den Zugang zu reglementierten Berufen oder deren Ausübung beschränken.</w:t>
      </w:r>
    </w:p>
    <w:p>
      <w:r>
        <w:rPr>
          <w:color w:val="555555"/>
          <w:sz w:val="17"/>
        </w:rPr>
        <w:t xml:space="preserve">Zitiervorschlag: § 9 BauKaV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https://recht.nulegal.eu/gesetze/BauKaV/9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