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BauKaV (Bayern) — Eintragungsantrag für die Liste der bauvorlageberechtigten Ingenieure</w:t>
      </w:r>
    </w:p>
    <w:p>
      <w:r>
        <w:rPr>
          <w:color w:val="555555"/>
          <w:sz w:val="18"/>
        </w:rPr>
        <w:t xml:space="preserve">Baukammernverordnung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Antrag auf Eintragung in die Liste der bauvorlageberechtigten Ingenieure (Art. 61 Abs. 2 Nr. 2 der Bayerischen Bauordnung) muss mindestens Angaben enthalten über den Namen und das Geburtsdatum der Antragstellerin oder des Antragstellers. Dem Eintragungsantrag sind beizufügen:</w:t>
      </w:r>
    </w:p>
    <w:p>
      <w:r>
        <w:t xml:space="preserve">1. Ein Nachweis über die Berechtigung zum Führen der im Ingenieurgesetz vorgesehenen Berufsbezeichnungen als Angehörige oder Angehöriger einer Fachrichtung des Bauingenieurwesens sowie</w:t>
      </w:r>
    </w:p>
    <w:p>
      <w:r>
        <w:t xml:space="preserve">2. Nachweise über Art, Umfang, Zeit und Ort einer praktischen Tätigkeit.</w:t>
      </w:r>
    </w:p>
    <w:p>
      <w:r>
        <w:rPr>
          <w:color w:val="555555"/>
          <w:sz w:val="17"/>
        </w:rPr>
        <w:t xml:space="preserve">Zitiervorschlag: § 6 BauKaV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