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BauKaV (Bayern) — Begriffsbestimmungen</w:t>
      </w:r>
    </w:p>
    <w:p>
      <w:r>
        <w:rPr>
          <w:color w:val="555555"/>
          <w:sz w:val="18"/>
        </w:rPr>
        <w:t xml:space="preserve">Baukammernverordnung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Regelungen im Sinne von Art. 18 Abs. 4 Satz 1 BauKaG gelten auf Grund des Art. 3 der Richtlinie 2005/36/EG und Art. 3 der Richtlinie (EU) 2018/958 die Begriffsbestimmungen der folgenden Abs. 2 bis 17.</w:t>
      </w:r>
    </w:p>
    <w:p>
      <w:r>
        <w:t xml:space="preserve">(2) „Reglementierter Beruf“ ist eine berufliche Tätigkeit oder eine Gruppe beruflicher Tätigkeiten, bei der die Aufnahme oder Ausübung oder eine der Arten der Ausübung direkt oder indirekt durch Rechts- und Verwaltungsvorschriften an den Besitz bestimmter Berufsqualifikationen gebunden ist. Eine Art der Ausübung ist insbesondere die Führung einer Berufsbezeichnung, die durch Rechts- oder Verwaltungsvorschriften auf Personen beschränkt ist, die über eine bestimmte Berufsqualifikation verfügen. Einem reglementierten Beruf steht ein Beruf gleich, der von Mitgliedern von Verbänden oder Organisationen im Sinne des Anhangs I zu der Richtlinie 2005/36/EG ausgeübt wird.</w:t>
      </w:r>
    </w:p>
    <w:p>
      <w:r>
        <w:t xml:space="preserve">(3) „Berufsqualifikationen“ sind die Qualifikationen, die durch einen Ausbildungsnachweis, einen Befähigungsnachweis nach Art. 11 Buchst. a Ziffer i der Richtlinie 2005/36/EG und/oder Berufserfahrung nachgewiesen werden.</w:t>
      </w:r>
    </w:p>
    <w:p>
      <w:r>
        <w:t xml:space="preserve">(4) „Ausbildungsnachweise“ sind Diplome, Prüfungszeugnisse und sonstige Befähigungsnachweise, die von einer Behörde eines Mitgliedstaats der Europäischen Union, die entsprechend dessen Rechts- und Verwaltungsvorschriften benannt wurde, für den Abschluss einer überwiegend in der Europäischen Union absolvierten Berufsausbildung ausgestellt werden. Einem Ausbildungsnachweis nach Satz 1 gleichgestellt ist jeder in einem Drittland ausgestellte Ausbildungsnachweis, sofern sein Inhaber in dem betreffenden Beruf drei Jahre Berufserfahrung im Hoheitsgebiet des Mitgliedstaats der Europäischen Union, der diesen Ausbildungsnachweis nach Art. 2 Abs. 2 der Richtlinie 2005/36/EG anerkannt hat, besitzt und dieser Mitgliedstaat diese Berufserfahrung bescheinigt.</w:t>
      </w:r>
    </w:p>
    <w:p>
      <w:r>
        <w:t xml:space="preserve">(5) „Zuständige Behörde“: jede mit der besonderen Befugnis ausgestattete Behörde oder Stelle, Ausbildungsnachweise und andere Dokumente oder Informationen auszustellen bzw. entgegenzunehmen sowie Anträge zu erhalten und Beschlüsse zu fassen, auf die in der Richtlinie 2005/36/EG abgezielt wird.</w:t>
      </w:r>
    </w:p>
    <w:p>
      <w:r>
        <w:t xml:space="preserve">(6) „Reglementierte Ausbildung“ ist eine Ausbildung, die speziell auf die Ausübung eines bestimmten Berufes ausgerichtet ist und aus einem abgeschlossenen Ausbildungsgang oder mehreren abgeschlossenen Ausbildungsgängen besteht, der gegebenenfalls durch eine Berufsausbildung, durch ein Berufspraktikum oder durch Berufspraxis ergänzt wird. Der Aufbau und das Niveau der Berufsausbildung, des Berufspraktikums oder der Berufspraxis müssen in Rechts- und Verwaltungsvorschriften des jeweiligen Mitgliedstaats der Europäischen Union festgelegt sein oder von einer zu diesem Zweck bestimmten Behörde kontrolliert oder genehmigt werden.</w:t>
      </w:r>
    </w:p>
    <w:p>
      <w:r>
        <w:t xml:space="preserve">(7) „Berufserfahrung“ ist die tatsächliche und rechtmäßige Ausübung des betreffenden Berufs als Vollzeitbeschäftigung oder als entsprechende Teilzeitbeschäftigung in einem Mitgliedstaat der Europäischen Union.</w:t>
      </w:r>
    </w:p>
    <w:p>
      <w:r>
        <w:t xml:space="preserve">(8) „Anpassungslehrgang“ ist die Ausübung eines reglementierten Berufs, die in dem Aufnahmemitgliedstaat der Europäischen Union unter der Verantwortung eines qualifizierten Berufsangehörigen erfolgt und gegebenenfalls mit einer Zusatzausbildung einhergeht. Der Lehrgang ist Gegenstand einer Bewertung. Die Einzelheiten des Anpassungslehrgangs und seiner Bewertung sowie die Rechtsstellung des beaufsichtigten zugewanderten Lehrgangsteilnehmers werden von der zuständigen Behörde des Aufnahmemitgliedstaats festgelegt. Die Rechtsstellung des Lehrgangsteilnehmers im Aufnahmemitgliedstaat, insbesondere im Bereich des Aufenthaltsrechts sowie der Verpflichtungen, sozialen Rechte und Leistungen, Vergütungen und Bezüge wird von den zuständigen Behörden des betreffenden Mitgliedstaats gemäß dem geltenden Recht der Europäischen Union festgelegt.</w:t>
      </w:r>
    </w:p>
    <w:p>
      <w:r>
        <w:t xml:space="preserve">(9) „Eignungsprüfung“ ist eine die beruflichen Kenntnisse, Fähigkeiten und Kompetenzen des Antragstellers betreffende und von den zuständigen Behörden des Aufnahmemitgliedstaats der Europäischen Union durchgeführte oder anerkannte Prüfung, mit der die Fähigkeit des Antragstellers, in diesem Mitgliedstaat einen reglementierten Beruf auszuüben, beurteilt werden soll. Um die Durchführung dieser Prüfung zu ermöglichen, erstellen die zuständigen Behörden ein Verzeichnis der Sachgebiete, die auf Grund eines Vergleichs zwischen der im Aufnahmemitgliedstaat verlangten Ausbildung und der bisherigen Ausbildung des Antragstellers von dem Diplom oder den sonstigen Ausbildungsnachweisen, über die der Antragsteller verfügt, nicht abgedeckt werden. Bei der Eignungsprüfung muss dem Umstand Rechnung getragen werden, dass der Antragsteller in seinem Herkunftsmitgliedstaat der Europäischen Union oder dem Mitgliedstaat, aus dem der Antragsteller kommt, über eine berufliche Qualifikation verfügt. Die Eignungsprüfung erstreckt sich auf Sachgebiete, die aus dem Verzeichnis ausgewählt werden und deren Kenntnis eine wesentliche Voraussetzung für die Ausübung des Berufs im Aufnahmemitgliedstaat ist. Diese Prüfung kann sich auch auf die Kenntnis der sich auf die betreffenden Tätigkeiten im Aufnahmemitgliedstaat beziehenden berufsständischen Regeln erstrecken. Die Einzelheiten der Durchführung der Eignungsprüfung und die Rechtsstellung des Antragstellers in dem Aufnahmemitgliedstaat, in dem er sich auf die Eignungsprüfung vorzubereiten wünscht, werden von den zuständigen Behörden dieses Mitgliedstaats festgelegt.</w:t>
      </w:r>
    </w:p>
    <w:p>
      <w:r>
        <w:t xml:space="preserve">(10) „Betriebsleiter“ ist eine Person, die in einem Unternehmen des entsprechenden Berufszweigs</w:t>
      </w:r>
    </w:p>
    <w:p>
      <w:r>
        <w:t xml:space="preserve">1. die Position des Leiters des Unternehmens oder einer Zweigniederlassung innehat oder</w:t>
      </w:r>
    </w:p>
    <w:p>
      <w:r>
        <w:t xml:space="preserve">2. Stellvertreter eines Inhabers oder Leiters eines Unternehmens ist, sofern mit dieser Position eine Verantwortung verbunden ist, die der des vertretenen Inhabers oder Leiters vergleichbar ist, oder</w:t>
      </w:r>
    </w:p>
    <w:p>
      <w:r>
        <w:t xml:space="preserve">3. in leitender Stellung mit kaufmännischen und/oder technischen Aufgaben und mit der Verantwortung für eine oder mehrere Abteilungen des Unternehmens tätig ist.</w:t>
      </w:r>
    </w:p>
    <w:p>
      <w:r>
        <w:t xml:space="preserve">(11) „Berufspraktikum“ ist unbeschadet des Art. 46 Abs. 4 der Richtlinie 2005/36/EG ein Zeitraum der Berufstätigkeit unter Aufsicht, vorausgesetzt, es stellt eine Bedingung für den Zugang zu einem reglementierten Beruf dar. Es kann entweder während oder nach dem Abschluss einer Ausbildung stattfinden, die zu einem Diplom führt.</w:t>
      </w:r>
    </w:p>
    <w:p>
      <w:r>
        <w:t xml:space="preserve">(12) „Europäischer Berufsausweis“ ist eine elektronische Bescheinigung entweder zum Nachweis, dass der Berufsangehörige sämtliche notwendigen Voraussetzungen für die vorübergehende und gelegentliche Erbringung von Dienstleistungen in einem Aufnahmemitgliedstaat der Europäischen Union erfüllt oder zum Nachweis der Anerkennung von Berufsqualifikationen für die Niederlassung in einem Aufnahmemitgliedstaat.</w:t>
      </w:r>
    </w:p>
    <w:p>
      <w:r>
        <w:t xml:space="preserve">(13) „Lebenslanges Lernen“ umfasst jegliche Aktivitäten der allgemeinen Bildung, beruflichen Bildung, nichtformalen Bildung und des informellen Lernens während des gesamten Lebens, aus denen sich eine Verbesserung von Kenntnissen, Fähigkeiten und Kompetenzen ergibt und zu denen auch Berufsethik gehören kann.</w:t>
      </w:r>
    </w:p>
    <w:p>
      <w:r>
        <w:t xml:space="preserve">(14) „Zwingende Gründe des Allgemeininteresses“ sind Gründe, die als solche in der Rechtsprechung des Gerichtshofs der Europäischen Union anerkannt sind.</w:t>
      </w:r>
    </w:p>
    <w:p>
      <w:r>
        <w:t xml:space="preserve">(15) „Europäisches System zur Übertragung von Studienleistungen oder ECTS-Punkte“ ist das Punktesystem für Hochschulausbildung, das im Europäischen Hochschulraum verwendet wird.</w:t>
      </w:r>
    </w:p>
    <w:p>
      <w:r>
        <w:t xml:space="preserve">(16) „Geschützte Berufsbezeichnung“ bezeichnet eine Form der Reglementierung eines Berufs, bei der die Verwendung einer Bezeichnung bei der Ausübung einer beruflichen Tätigkeit oder einer Gruppe von beruflichen Tätigkeiten auf Grund von Rechts- und Verwaltungsvorschriften unmittelbar oder mittelbar dem Besitz einer bestimmten Berufsqualifikation unterliegt und bei einer missbräuchlichen Verwendung dieser Bezeichnung Sanktionen verhängt werden.</w:t>
      </w:r>
    </w:p>
    <w:p>
      <w:r>
        <w:t xml:space="preserve">(17) „Vorbehaltene Tätigkeiten“ bedeutet eine Form der Reglementierung eines Berufs, bei der der Zugang zu einer beruflichen Tätigkeit oder einer Gruppe von beruflichen Tätigkeiten auf Grund von Rechts- und Verwaltungsvorschriften unmittelbar oder mittelbar Angehörigen eines reglementierten Berufs, die Inhaber einer bestimmten Berufsqualifikation sind, vorbehalten wird, und zwar auch dann, wenn diese Tätigkeit mit anderen reglementierten Berufen geteilt wird.</w:t>
      </w:r>
    </w:p>
    <w:p>
      <w:r>
        <w:rPr>
          <w:color w:val="555555"/>
          <w:sz w:val="17"/>
        </w:rPr>
        <w:t xml:space="preserve">Zitiervorschlag: § 10 BauKaV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https://recht.nulegal.eu/gesetze/BauKaV/10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BauKaV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