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BauKaG (Bayern) — Architektenliste, Eintragung</w:t>
      </w:r>
    </w:p>
    <w:p>
      <w:r>
        <w:rPr>
          <w:color w:val="555555"/>
          <w:sz w:val="18"/>
        </w:rPr>
        <w:t xml:space="preserve">Baukammerngesetz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Architektenliste wird von der Bayerischen Architektenkammer (Architektenkammer) geführt. Aus der Architektenliste muss neben der Fachrichtung der oder des Eingetragenen die Tätigkeitsart – freiberuflich, angestellt, beamtet oder in der Bauwirtschaft tätig – ersichtlich sein.</w:t>
      </w:r>
    </w:p>
    <w:p>
      <w:r>
        <w:t xml:space="preserve">(2) In die Architektenliste ist auf Antrag einzutragen, wer</w:t>
      </w:r>
    </w:p>
    <w:p>
      <w:r>
        <w:t xml:space="preserve">1. Wohnsitz, Niederlassung oder überwiegende berufliche Beschäftigung in Bayern hat,</w:t>
      </w:r>
    </w:p>
    <w:p>
      <w:r>
        <w:t xml:space="preserve">2. ein Studium an einer deutschen Hochschule, an einer deutschen öffentlichen oder staatlich anerkannten Ingenieurschule oder Akademie oder an einer dieser gleichwertigen deutschen Lehreinrichtung erfolgreich abgeschlossen hat, das</w:t>
      </w:r>
    </w:p>
    <w:p>
      <w:r>
        <w:t xml:space="preserve">a) den Anforderungen von Art. 46 Abs. 2 der Richtlinie 2005/36/EG entspricht und auf Architektur im Sinn von Art. 3 Abs. 1 ausgerichtet ist, eine Regelstudienzeit von mindestens acht Semestern in Vollzeit aufweist und mit dem bei Anwendung des ECTS-Systems mindestens 240 Punkte erworben werden können,</w:t>
      </w:r>
    </w:p>
    <w:p>
      <w:r>
        <w:t xml:space="preserve">b) auf Innenarchitektur im Sinn des Art. 3 Abs. 2 ausgerichtet ist, eine Regelstudienzeit von mindestens acht Semestern in Vollzeit aufweist und mit dem bei Anwendung des ECTS-Systems mindestens 240 Punkte erworben werden können oder</w:t>
      </w:r>
    </w:p>
    <w:p>
      <w:r>
        <w:t xml:space="preserve">c) auf Landschaftsarchitektur im Sinn des Art. 3 Abs. 3 ausgerichtet ist, eine Regelstudienzeit von mindestens acht Semestern in Vollzeit aufweist und mit dem bei Anwendung des ECTS-Systems mindestens 240 Punkte erworben werden können,</w:t>
      </w:r>
    </w:p>
    <w:p>
      <w:r>
        <w:t xml:space="preserve">und</w:t>
      </w:r>
    </w:p>
    <w:p>
      <w:r>
        <w:t xml:space="preserve">3. eine nachfolgende praktische Tätigkeit in der betreffenden Fachrichtung von mindestens zwei Jahren ausgeübt hat, die auf den während des Studiums erworbenen Kenntnissen, Fähigkeiten und Kompetenzen aufbaut. In der Fachrichtung Architektur muss die praktische Tätigkeit unter Beaufsichtigung einer berufsangehörigen Person oder der Architektenkammer absolviert werden (Berufspraktikum). Ein im Ausland absolviertes Berufspraktikum wird von der Architektenkammer anerkannt, soweit es den Vorgaben nach Art. 18 Abs. 2 Nr. 9 entspricht.</w:t>
      </w:r>
    </w:p>
    <w:p>
      <w:r>
        <w:t xml:space="preserve">(3) Eine Bewerberin oder ein Bewerber, die oder der in die Liste der jeweiligen Fachrichtung bei der Architektenkammer eines anderen Landes eingetragen ist, ist auf Antrag ohne Prüfung der Befähigung nach Abs. 2 in die Liste ihrer oder seiner Fachrichtung einzutragen.</w:t>
      </w:r>
    </w:p>
    <w:p>
      <w:r>
        <w:t xml:space="preserve">(4) Ist die Eintragung in einem anderen Land nur gelöscht worden, weil die Wohnung oder berufliche Niederlassung in diesem Land aufgegeben worden ist, ist eine antragstellende Person innerhalb eines Jahres nach Löschung aus der Liste ohne Prüfung der Befähigung nach Abs. 2 in die Liste ihrer Fachrichtung einzutragen.</w:t>
      </w:r>
    </w:p>
    <w:p>
      <w:r>
        <w:rPr>
          <w:color w:val="555555"/>
          <w:sz w:val="17"/>
        </w:rPr>
        <w:t xml:space="preserve">Zitiervorschlag: Art 4 BauKaG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https://recht.nulegal.eu/gesetze/BauKaG/4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