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35 BauKaG (Bayern) — Inkrafttreten</w:t>
      </w:r>
    </w:p>
    <w:p>
      <w:r>
        <w:rPr>
          <w:color w:val="555555"/>
          <w:sz w:val="18"/>
        </w:rPr>
        <w:t xml:space="preserve">Baukammerngesetz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Art. 33 tritt am 1. Juni 2007 in Kraft, im Übrigen tritt dieses Gesetz am 1. Juli 2007 in Kraft.</w:t>
      </w:r>
    </w:p>
    <w:p>
      <w:r>
        <w:t xml:space="preserve">(2) Art. 18 Abs. 4 tritt am 30. Juli 2020 in Kraft.</w:t>
      </w:r>
    </w:p>
    <w:p>
      <w:r>
        <w:rPr>
          <w:color w:val="555555"/>
          <w:sz w:val="17"/>
        </w:rPr>
        <w:t xml:space="preserve">Zitiervorschlag: Art 35 BauKaG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https://recht.nulegal.eu/gesetze/BauKaG/35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