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34 BauKaG (Bayern) — Übergangsvorschrift</w:t>
      </w:r>
    </w:p>
    <w:p>
      <w:r>
        <w:rPr>
          <w:color w:val="555555"/>
          <w:sz w:val="18"/>
        </w:rPr>
        <w:t xml:space="preserve">Baukammerngesetz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Art. 4 Abs. 2 Nr. 2 Buchst. b und c in der am 31. Juli 2023 geltenden Fassung findet Anwendung auf Personen, die ihr Studium vor dem Wintersemester 2026/2027 begonnen haben.</w:t>
      </w:r>
    </w:p>
    <w:p>
      <w:r>
        <w:rPr>
          <w:color w:val="555555"/>
          <w:sz w:val="17"/>
        </w:rPr>
        <w:t xml:space="preserve">Zitiervorschlag: Art 34 BauKaG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https://recht.nulegal.eu/gesetze/BauKaG/34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