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33 BauKaG (Bayern) — Rechtsverordnungen</w:t>
      </w:r>
    </w:p>
    <w:p>
      <w:r>
        <w:rPr>
          <w:color w:val="555555"/>
          <w:sz w:val="18"/>
        </w:rPr>
        <w:t xml:space="preserve">Baukammerngesetz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Staatsministerium für Wohnen, Bau und Verkehr wird ermächtigt, durch Rechtsverordnung Vorschriften zu erlassen über</w:t>
      </w:r>
    </w:p>
    <w:p>
      <w:r>
        <w:t xml:space="preserve">1. das Verfahren vor den Eintragungsausschüssen, insbesondere die vorzulegenden Unterlagen,</w:t>
      </w:r>
    </w:p>
    <w:p>
      <w:r>
        <w:t xml:space="preserve">2. die Zusammensetzung der Eintragungsausschüsse,</w:t>
      </w:r>
    </w:p>
    <w:p>
      <w:r>
        <w:t xml:space="preserve">3. ausbildungsbezogene Eintragungsvoraussetzungen im Sinn von Art. 4 Abs. 2 Nr. 2 und Art. 6 Abs. 2 Nr. 2 im Einvernehmen mit dem Staatsministerium für Wissenschaft und Kunst,</w:t>
      </w:r>
    </w:p>
    <w:p>
      <w:r>
        <w:t xml:space="preserve">4. das Verfahren bei der Erfüllung der Aufgaben nach Art. 22 Abs. 2.</w:t>
      </w:r>
    </w:p>
    <w:p>
      <w:r>
        <w:rPr>
          <w:color w:val="555555"/>
          <w:sz w:val="17"/>
        </w:rPr>
        <w:t xml:space="preserve">Zitiervorschlag: Art 33 BauKaG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https://recht.nulegal.eu/gesetze/BauKaG/33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