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BauKaG (Bayern) — Ordnungswidrigkeiten</w:t>
      </w:r>
    </w:p>
    <w:p>
      <w:r>
        <w:rPr>
          <w:color w:val="555555"/>
          <w:sz w:val="18"/>
        </w:rPr>
        <w:t xml:space="preserve">Baukammerngesetz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zwanzigtausend Euro kann belegt werden, wer entgegen Art. 1 Abs. 1 bis 4, Art. 8 Abs. 1 Satz 1 und 2 sowie Art. 9 Abs. 1 oder Abs. 4 Berufsbezeichnungen, Wortverbindungen oder ähnliche Bezeichnungen führt.</w:t>
      </w:r>
    </w:p>
    <w:p>
      <w:r>
        <w:t xml:space="preserve">(2) Geldbußen und Verwarnungsgelder fließen in die Kasse der jeweils zuständigen Kammer. Diese trägt auch die notwendigen Auslagen abweichend von § 105 Abs. 2 des Gesetzes über Ordnungswidrigkeiten (OWiG) und ist ersatzpflichtig im Sinn des § 110 Abs. 4 OWiG.</w:t>
      </w:r>
    </w:p>
    <w:p>
      <w:r>
        <w:rPr>
          <w:color w:val="555555"/>
          <w:sz w:val="17"/>
        </w:rPr>
        <w:t xml:space="preserve">Zitiervorschlag: Art 32 BauKaG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https://recht.nulegal.eu/gesetze/BauKaG/32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