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30 BauKaG (Bayern) — Anwendung des Heilberufe-Kammergesetzes und des Gerichtsverfassungsgesetzes</w:t>
      </w:r>
    </w:p>
    <w:p>
      <w:r>
        <w:rPr>
          <w:color w:val="555555"/>
          <w:sz w:val="18"/>
        </w:rPr>
        <w:t xml:space="preserve">Baukammerngesetz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Berufsgerichtsbarkeit der Mitglieder der Kammern gelten im Übrigen die Vorschriften des Heilberufe-Kammergesetzes (HKaG) über Zuständigkeit und Verfahren, Wiederaufnahme des Verfahrens und Verfahrenskosten mit Ausnahme des Art. 88 Abs. 2 und 3 HKaG sinngemäß. Die Vorschriften des Siebzehnten Titels des Gerichtsverfassungsgesetzes sind entsprechend anzuwenden.</w:t>
      </w:r>
    </w:p>
    <w:p>
      <w:r>
        <w:rPr>
          <w:color w:val="555555"/>
          <w:sz w:val="17"/>
        </w:rPr>
        <w:t xml:space="preserve">Zitiervorschlag: Art 30 BauKaG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https://recht.nulegal.eu/gesetze/BauKaG/30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