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BauKaG (Bayern) — Berufsaufgaben</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Berufsaufgaben der Architektin und des Architekten sind insbesondere die gestaltende, technische, wirtschaftliche, umweltgerechte und soziale Planung von Bauwerken unter besonderer Beachtung der die Sicherheit der Nutzer und der Öffentlichkeit betreffenden Gesichtspunkte sowie die Orts- und Stadtplanung innerhalb ihrer oder seiner Fachrichtung.</w:t>
      </w:r>
    </w:p>
    <w:p>
      <w:r>
        <w:t xml:space="preserve">(2) Berufsaufgaben der Innenarchitektin und des Innenarchitekten sind insbesondere die gestaltende, technische, wirtschaftliche, umweltgerechte und soziale Planung von Innenräumen und der damit verbundenen baulichen Änderung von Gebäuden.</w:t>
      </w:r>
    </w:p>
    <w:p>
      <w:r>
        <w:t xml:space="preserve">(3) Berufsaufgaben der Landschaftsarchitektin und des Landschaftsarchitekten sind insbesondere die gestaltende, technische, wirtschaftliche, umweltgerechte und soziale Planung von Landschaft, Freianlagen und Gärten sowie die Orts- und Stadtplanung innerhalb ihrer oder seiner Fachrichtung.</w:t>
      </w:r>
    </w:p>
    <w:p>
      <w:r>
        <w:t xml:space="preserve">(4) Berufsaufgaben der Stadtplanerin und des Stadtplaners sind insbesondere die gestaltende, technische, wirtschaftliche, umweltgerechte und soziale Stadt- und Raumplanung sowie die Erarbeitung städtebaulicher Pläne.</w:t>
      </w:r>
    </w:p>
    <w:p>
      <w:r>
        <w:t xml:space="preserve">(5) Berufsaufgaben der Beratenden Ingenieurin und des Beratenden Ingenieurs sind insbesondere die eigenverantwortliche und unabhängige Beratung und Planung auf dem Gebiet des Ingenieurwesens. Eigenverantwortlich ist, wer</w:t>
      </w:r>
    </w:p>
    <w:p>
      <w:r>
        <w:t xml:space="preserve">1. seine berufliche Tätigkeit als alleinige Inhaberin oder alleiniger Inhaber eines Büros selbständig auf eigene Rechnung und Verantwortung ausübt oder</w:t>
      </w:r>
    </w:p>
    <w:p>
      <w:r>
        <w:t xml:space="preserve">2. sich mit anderen zusammengeschlossen hat und innerhalb dieses Zusammenschlusses eine Rechtsstellung besitzt, kraft derer sie oder er ihre oder seine Berufsaufgaben nach Satz 1 unbeeinflusst ausüben kann, oder</w:t>
      </w:r>
    </w:p>
    <w:p>
      <w:r>
        <w:t xml:space="preserve">3. als leitende Angestellte oder leitender Angestellter in einem unabhängigen Ingenieurunternehmen nach Satz 3 im Wesentlichen selbständig Aufgaben nach Satz 1 wahrnimmt, die ihr oder ihm regelmäßig wegen ihrer Bedeutung übertragen werden, oder</w:t>
      </w:r>
    </w:p>
    <w:p>
      <w:r>
        <w:t xml:space="preserve">4. als Hochschullehrerin oder Hochschullehrer in selbständiger Beratung tätig ist.</w:t>
      </w:r>
    </w:p>
    <w:p>
      <w:r>
        <w:t xml:space="preserve">Unabhängig ist, wer bei der Ausübung seiner Berufstätigkeit weder eigene Produktions-, Handels- oder Lieferinteressen hat noch fremde Interessen dieser Art vertritt, die unmittelbar oder mittelbar im Zusammenhang mit der beruflichen Tätigkeit stehen.</w:t>
      </w:r>
    </w:p>
    <w:p>
      <w:r>
        <w:t xml:space="preserve">(6) Zu den Berufsaufgaben nach Abs. 1 bis 5 gehören auch die Beratung, Betreuung und Vertretung des Auftraggebers, Arbeitgebers oder Dienstherrn in den mit der Planung, Ausführung und Steuerung des Vorhabens zusammenhängenden Angelegenheiten sowie die Überwachung der Ausführung und die Projektentwicklung. Zu den Berufsaufgaben können auch Sachverständigen-, Lehr-, Forschungsund Entwicklungstätigkeiten sowie sonstige Dienstleistungen bei der Vorbereitung und Steuerung von Planungs- und Baumaßnahmen, bei der Nutzung von Bauwerken sowie die Wahrnehmung der damit verbundenen sicherheits- und gesundheitstechnischen Belange gehören.</w:t>
      </w:r>
    </w:p>
    <w:p>
      <w:r>
        <w:t xml:space="preserve">(7) Kennzeichen der beruflichen Tätigkeit der in den Abs. 1 bis 5 genannten Personen ist die geistig-schöpferische Bewältigung der Berufsaufgaben unter Berücksichtigung ihrer Vielschichtigkeit insbesondere auch im Hinblick auf technisch-funktionale, sozioökonomische, baukulturelle, rechtliche und ökologische Belange. Die Tätigkeit berücksichtigt die Bedürfnisse der Auftraggeber und des Gemeinwesens und achtet dabei das architektonische Erbe sowie die natürlichen Lebensgrundlagen.</w:t>
      </w:r>
    </w:p>
    <w:p>
      <w:r>
        <w:rPr>
          <w:color w:val="555555"/>
          <w:sz w:val="17"/>
        </w:rPr>
        <w:t xml:space="preserve">Zitiervorschlag: Art 3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