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28 BauKaG (Bayern) — Berufsgerichte</w:t>
      </w:r>
    </w:p>
    <w:p>
      <w:r>
        <w:rPr>
          <w:color w:val="555555"/>
          <w:sz w:val="18"/>
        </w:rPr>
        <w:t xml:space="preserve">Baukammerngesetz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Das berufsgerichtliche Verfahren wird von den Berufsgerichten als erster Instanz und von dem Landesberufsgericht als Rechtsmittelinstanz durchgeführt.</w:t>
      </w:r>
    </w:p>
    <w:p>
      <w:r>
        <w:t xml:space="preserve">(2) Die Berufsgerichte verhandeln und entscheiden in der Besetzung mit einer Berufsrichterin oder einem Berufsrichter als Vorsitzender oder Vorsitzendem und zwei Kammermitgliedern als ehrenamtlichen Richterinnen oder Richtern. Das Landesberufsgericht verhandelt und entscheidet in der Besetzung mit drei Berufsrichterinnen oder Berufsrichtern einschließlich der oder des Vorsitzenden und zwei Kammermitgliedern als ehrenamtlichen Richterinnen oder Richtern. Bei Verfahren gegen Mitglieder der Architektenkammer soll eine ehrenamtliche Richterin oder ein ehrenamtlicher Richter der Fachrichtung der oder des Beschuldigten angehören. Bei Beschlüssen außerhalb der mündlichen Verhandlung wirken die ehrenamtlichen Richterinnen und Richter nicht mit.</w:t>
      </w:r>
    </w:p>
    <w:p>
      <w:r>
        <w:t xml:space="preserve">(3) Das Berufsgericht für die Regierungsbezirke Oberbayern, Niederbayern und Schwaben wird beim Landgericht München I, das Berufsgericht für die Regierungsbezirke Oberfranken, Mittelfranken, Unterfranken und Oberpfalz beim Landgericht Nürnberg-Fürth errichtet. Das Landesberufsgericht wird beim Obersten Landesgericht errichtet; seine Aufgaben werden den Strafsenaten in Nürnberg übertragen.</w:t>
      </w:r>
    </w:p>
    <w:p>
      <w:r>
        <w:t xml:space="preserve">(4) Die Aufgaben der Geschäftsstelle werden von der Geschäftsstelle des jeweiligen Gerichts wahrgenommen.</w:t>
      </w:r>
    </w:p>
    <w:p>
      <w:r>
        <w:rPr>
          <w:color w:val="555555"/>
          <w:sz w:val="17"/>
        </w:rPr>
        <w:t xml:space="preserve">Zitiervorschlag: Art 28 BauKaG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https://recht.nulegal.eu/gesetze/BauKaG/28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