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23 BauKaG (Bayern) — Verfahren</w:t>
      </w:r>
    </w:p>
    <w:p>
      <w:r>
        <w:rPr>
          <w:color w:val="555555"/>
          <w:sz w:val="18"/>
        </w:rPr>
        <w:t xml:space="preserve">Baukammerngesetz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Eintragungsausschüsse sind unabhängig und an Weisungen nicht gebunden. Sie entscheiden nach ihrer freien, aus dem Gang des gesamten Verfahrens gewonnenen Überzeugung. Die Sitzungen der Eintragungsausschüsse sind nicht öffentlich.</w:t>
      </w:r>
    </w:p>
    <w:p>
      <w:r>
        <w:t xml:space="preserve">(2) Die Eintragungsausschüsse sind fähig, am verwaltungsgerichtlichen Verfahren beteiligt zu werden. Sie werden dabei durch die Vorsitzende oder den Vorsitzenden vertreten.</w:t>
      </w:r>
    </w:p>
    <w:p>
      <w:r>
        <w:rPr>
          <w:color w:val="555555"/>
          <w:sz w:val="17"/>
        </w:rPr>
        <w:t xml:space="preserve">Zitiervorschlag: Art 23 BauKaG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https://recht.nulegal.eu/gesetze/BauKaG/23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