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BauKaG (Bayern) — Auswärtige Dienstleister</w:t>
      </w:r>
    </w:p>
    <w:p>
      <w:r>
        <w:rPr>
          <w:color w:val="555555"/>
          <w:sz w:val="18"/>
        </w:rPr>
        <w:t xml:space="preserve">Baukammerngesetz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Personen, die im Ausland niedergelassen sind oder ihren Beruf überwiegend dort ausüben und die sich zu einer vorübergehenden und gelegentlichen Dienstleistungserbringung gemäß Art. 3 nach Bayern begeben (auswärtige Dienstleister), müssen das erstmalige Tätigwerden der nach den Art. 4 bis 6 zuständigen Kammer vorher schriftlich anzeigen. Die Kammer trägt sie in gesonderte Verzeichnisse ein und erteilt hierüber eine fünf Jahre gültige Bestätigung, die auf Antrag um jeweils höchstens fünf Jahre verlängert wird. Auswärtige Dienstleister haben die jeweiligen Berufspflichten zu beachten und sind hierfür wie Mitglieder der jeweiligen Kammer zu behandeln. Die Sätze 1 und 2 gelten nicht für Personen, die über eine Satz 2 entsprechende Bestätigung einer anderen deutschen Architekten- oder Ingenieurekammer verfügen.</w:t>
      </w:r>
    </w:p>
    <w:p>
      <w:r>
        <w:t xml:space="preserve">(2) Auswärtige Dienstleister dürfen die Berufsbezeichnung oder eine Wortverbindung nach Art. 1 ohne Eintragung in die jeweilige Liste nach den Art. 4 bis 6 nur führen, wenn</w:t>
      </w:r>
    </w:p>
    <w:p>
      <w:r>
        <w:t xml:space="preserve">1. sie hinsichtlich der Berufsbezeichnungen</w:t>
      </w:r>
    </w:p>
    <w:p>
      <w:r>
        <w:t xml:space="preserve">a) nach Art. 1 Abs. 1 die Voraussetzungen des Art. 4 Abs. 2 Nr. 2 und 3 oder des Art. 31 Abs. 1,</w:t>
      </w:r>
    </w:p>
    <w:p>
      <w:r>
        <w:t xml:space="preserve">b) nach Art. 1 Abs. 2 die Voraussetzungen des Art. 5 Abs. 2 Satz 1 Nr. 2 bis 4 oder</w:t>
      </w:r>
    </w:p>
    <w:p>
      <w:r>
        <w:t xml:space="preserve">c) nach Art. 1 Abs. 3 die Voraussetzungen des Art. 6 Abs. 2 Nr. 2 und 3</w:t>
      </w:r>
    </w:p>
    <w:p>
      <w:r>
        <w:t xml:space="preserve">erfüllen und</w:t>
      </w:r>
    </w:p>
    <w:p>
      <w:r>
        <w:t xml:space="preserve">2. eine deutsche Architekten- oder Ingenieurekammer ihnen dies bestätigt hat.</w:t>
      </w:r>
    </w:p>
    <w:p>
      <w:r>
        <w:t xml:space="preserve">Satz 1 Nr. 2 gilt nicht für auswärtige Dienstleister, die die Voraussetzungen des Art. 31 Abs. 1 erfüllen.</w:t>
      </w:r>
    </w:p>
    <w:p>
      <w:r>
        <w:t xml:space="preserve">(3) Das Führen der Berufsbezeichnung kann in entsprechender Anwendung des Art. 7 untersagt werden.</w:t>
      </w:r>
    </w:p>
    <w:p>
      <w:r>
        <w:t xml:space="preserve">(4) Das Recht nach Art. 7 Abs. 3 der Richtlinie 2005/36/EG, die Berufsbezeichnung des Niederlassungsstaats zu führen, bleibt unberührt. Die Berufsbezeichnung ist so zu führen, dass keine Verwechslung mit Berufsbezeichnungen nach Art. 1 möglich ist.</w:t>
      </w:r>
    </w:p>
    <w:p>
      <w:r>
        <w:rPr>
          <w:color w:val="555555"/>
          <w:sz w:val="17"/>
        </w:rPr>
        <w:t xml:space="preserve">Zitiervorschlag: Art 2 BauKaG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https://recht.nulegal.eu/gesetze/BauKaG/2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