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Art 13 BauKaG (Bayern) — Aufgaben der Kammern</w:t>
      </w:r>
    </w:p>
    <w:p>
      <w:r>
        <w:rPr>
          <w:color w:val="555555"/>
          <w:sz w:val="18"/>
        </w:rPr>
        <w:t xml:space="preserve">Baukammerngesetz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(1) Aufgabe der Architektenkammer ist es, die Baukultur, die Baukunst, das Bauwesen, das barrierefreie Bauen, die Orts- und Stadtplanung sowie die Landschaftspflege zu fördern. Aufgabe der Ingenieurekammer-Bau ist es, die Baukultur sowie die Wissenschaft und die Technik des Bauwesens zu fördern. Aufgaben beider Kammern sind,</w:t>
      </w:r>
    </w:p>
    <w:p>
      <w:r>
        <w:t xml:space="preserve">1. die beruflichen Belange der Gesamtheit ihrer Mitglieder sowie das Ansehen des Berufsstandes zu wahren, die Mitglieder in Fragen der Berufsausübung zu beraten und die Erfüllung der beruflichen Pflichten zu überwachen,</w:t>
      </w:r>
    </w:p>
    <w:p>
      <w:r>
        <w:t xml:space="preserve">2. die berufliche Ausbildung zu fördern und für die berufliche Fort- und Weiterbildung zu sorgen,</w:t>
      </w:r>
    </w:p>
    <w:p>
      <w:r>
        <w:t xml:space="preserve">3. die nach diesem Gesetz und anderen Rechtsvorschriften vorgeschriebenen Listen und Verzeichnisse zu führen und die danach notwendigen Bescheinigungen zu erteilen,</w:t>
      </w:r>
    </w:p>
    <w:p>
      <w:r>
        <w:t xml:space="preserve">4. bei der Regelung des Wettbewerbswesens mitzuwirken,</w:t>
      </w:r>
    </w:p>
    <w:p>
      <w:r>
        <w:t xml:space="preserve">5. Behörden und Gerichte in allen die Berufsaufgaben betreffenden Fragen zu unterstützen,</w:t>
      </w:r>
    </w:p>
    <w:p>
      <w:r>
        <w:t xml:space="preserve">6. auf die Beilegung von Streitigkeiten, die sich aus der Berufsausübung ergeben, hinzuwirken,</w:t>
      </w:r>
    </w:p>
    <w:p>
      <w:r>
        <w:t xml:space="preserve">7. bei der Regelung des Sachverständigenwesens mitzuwirken,</w:t>
      </w:r>
    </w:p>
    <w:p>
      <w:r>
        <w:t xml:space="preserve">8. die Berufsqualifikationen zu überprüfen und anzuerkennen sowie Ausgleichsmaßnahmen anzuordnen und zu bewerten und</w:t>
      </w:r>
    </w:p>
    <w:p>
      <w:r>
        <w:t xml:space="preserve">9. die während der praktischen Tätigkeit sowie der begleitenden Fort- und Weiterbildungsmaßnahmen zu bearbeitenden Mindestaufgaben und Mindestinhalte festzulegen sowie Berufspraktika zu beaufsichtigen und zu bewerten.</w:t>
      </w:r>
    </w:p>
    <w:p>
      <w:r>
        <w:t xml:space="preserve">(2) Die Kammern können Fürsorgeeinrichtungen für ihre Mitglieder und Juniormitglieder und deren Familien schaffen. Für Mitglieder und Juniormitglieder, deren Versorgung gesetzlich geregelt ist, darf die Teilnahme hieran nicht zwingend sein.</w:t>
      </w:r>
    </w:p>
    <w:p>
      <w:r>
        <w:t xml:space="preserve">(3) Die Kammern sind berechtigt, sich im Rahmen der Aufgaben nach Abs. 1 an Arbeitsgemeinschaften mit anderen Organisationen zu beteiligen. Eine Aufgabenübertragung ist dabei jedoch nicht zulässig.</w:t>
      </w:r>
    </w:p>
    <w:p>
      <w:r>
        <w:t xml:space="preserve">(4) Beteiligungen der Kammern an Entwicklungsprojekten im Ausland sind in angemessenem Maße zulässig, wenn der Vorstand und die Vertreterversammlung im begründeten Einzelfall einen Zusammenhang mit Aufgaben der Kammer gemäß Abs. 1 Satz 3 Nr. 2 festgestellt haben.</w:t>
      </w:r>
    </w:p>
    <w:p>
      <w:r>
        <w:rPr>
          <w:color w:val="555555"/>
          <w:sz w:val="17"/>
        </w:rPr>
        <w:t xml:space="preserve">Zitiervorschlag: Art 13 BauKaG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https://recht.nulegal.eu/gesetze/BauKaG/13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