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12 BauKaG (Bayern) — Kammern, Mitgliedschaft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Architektenkammer und die Ingenieurekammer-Bau sind Körperschaften des öffentlichen Rechts mit Sitz in München. Sie führen ein Dienstsiegel.</w:t>
      </w:r>
    </w:p>
    <w:p>
      <w:r>
        <w:t xml:space="preserve">(2) Die Kammern können Untergliederungen bilden. Sie sind zuständige Stellen im Sinn der Richtlinie 2005/36/EG.</w:t>
      </w:r>
    </w:p>
    <w:p>
      <w:r>
        <w:t xml:space="preserve">(3) Der Architektenkammer gehören an</w:t>
      </w:r>
    </w:p>
    <w:p>
      <w:r>
        <w:t xml:space="preserve">1. als Mitglieder</w:t>
      </w:r>
    </w:p>
    <w:p>
      <w:r>
        <w:t xml:space="preserve">a) die in die Architektenliste eingetragenen Architektinnen und Architekten, Innen- und Landschaftsarchitektinnen, Innen- und Landschaftsarchitekten sowie</w:t>
      </w:r>
    </w:p>
    <w:p>
      <w:r>
        <w:t xml:space="preserve">b) die in die Stadtplanerliste eingetragenen Stadtplanerinnen und Stadtplaner sowie</w:t>
      </w:r>
    </w:p>
    <w:p>
      <w:r>
        <w:t xml:space="preserve">2. als Juniormitglieder die nach Satz 2 in das Verzeichnis für Juniormitglieder eingetragenen Personen.</w:t>
      </w:r>
    </w:p>
    <w:p>
      <w:r>
        <w:t xml:space="preserve">In das Verzeichnis für Juniormitglieder ist auf Antrag einzutragen, wer die Voraussetzungen des Art. 4 Abs. 2 Nr. 1 und 2 oder Art. 6 Abs. 2 Nr. 1 und 2 erfüllt und eine praktische Tätigkeit nach Art. 4 Abs. 2 Nr. 3 oder Art. 6 Abs. 2 Nr. 3 begonnen hat. Für die Versagung und Löschung der Eintragung gilt Art. 7 entsprechend. Die Eintragung ist auch zu löschen</w:t>
      </w:r>
    </w:p>
    <w:p>
      <w:r>
        <w:t xml:space="preserve">1. mit Eintragung in die Architektenliste oder Stadtplanerliste,</w:t>
      </w:r>
    </w:p>
    <w:p>
      <w:r>
        <w:t xml:space="preserve">2. drei Monate nach Abschluss der praktischen Tätigkeit, wenn kein Antrag auf Eintragung in die Architektenliste oder Stadtplanerliste gestellt wurde, oder</w:t>
      </w:r>
    </w:p>
    <w:p>
      <w:r>
        <w:t xml:space="preserve">3. vier Jahre und sechs Monate nach Beginn der praktischen Tätigkeit; die Frist kann einmalig auf Antrag in Textform bis zu vier Jahre verlängert werden.</w:t>
      </w:r>
    </w:p>
    <w:p>
      <w:r>
        <w:t xml:space="preserve">Die Mitgliedschaft endet durch Löschen der Eintragung.</w:t>
      </w:r>
    </w:p>
    <w:p>
      <w:r>
        <w:t xml:space="preserve">(4) Der Ingenieurekammer-Bau gehören als Pflichtmitglieder alle im Bauwesen tätigen Ingenieurinnen und Ingenieure an, die in die Liste Beratender Ingenieure eingetragen sind. Die Mitgliedschaft endet durch Löschen der Eintragung.</w:t>
      </w:r>
    </w:p>
    <w:p>
      <w:r>
        <w:t xml:space="preserve">(5) Der Ingenieurekammer-Bau kann freiwillig als Mitglied beitreten, wer</w:t>
      </w:r>
    </w:p>
    <w:p>
      <w:r>
        <w:t xml:space="preserve">1. Wohnsitz, Niederlassung oder überwiegende berufliche Beschäftigung in Bayern hat und</w:t>
      </w:r>
    </w:p>
    <w:p>
      <w:r>
        <w:t xml:space="preserve">2. a) in die Liste Beratender Ingenieure eingetragen ist, ohne im Bauwesen tätig zu sein, oder</w:t>
      </w:r>
    </w:p>
    <w:p>
      <w:r>
        <w:t xml:space="preserve">b) im Bauwesen tätig ist, ohne in die Liste Beratender Ingenieure eingetragen zu sein, und berechtigt ist, nach den Vorschriften des Bayerischen Ingenieurgesetzes die Berufsbezeichnung „Ingenieurin“ oder „Ingenieur“ zu führen.</w:t>
      </w:r>
    </w:p>
    <w:p>
      <w:r>
        <w:t xml:space="preserve">Über die Aufnahme freiwilliger Mitglieder entscheidet der Vorstand. Art. 7 gilt entsprechend.</w:t>
      </w:r>
    </w:p>
    <w:p>
      <w:r>
        <w:t xml:space="preserve">(6) Die Aufsicht über die Kammern und deren Eintragungsausschüsse führt das Staatsministerium für Wohnen, Bau und Verkehr nach den Vorschriften der Gemeindeordnung, soweit durch Gesetz oder Verordnung nichts anderes bestimmt ist.</w:t>
      </w:r>
    </w:p>
    <w:p>
      <w:r>
        <w:rPr>
          <w:color w:val="555555"/>
          <w:sz w:val="17"/>
        </w:rPr>
        <w:t xml:space="preserve">Zitiervorschlag: Art 12 BauKaG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12 BauKaG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