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BauKMZStV (Bayern) — Kündigung des Staatsvertrags</w:t>
      </w:r>
    </w:p>
    <w:p>
      <w:r>
        <w:rPr>
          <w:color w:val="555555"/>
          <w:sz w:val="18"/>
        </w:rPr>
        <w:t xml:space="preserve">Staatsvertrag zwischen dem Freistaat Bayern und dem Land Berlin über die Zugehörigkeit der Mitglieder der Baukammer Berlin zur Bayerischen Ingenieurversorgung-Bau</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Dieser Staatsvertrag kann von jedem der vertragschließenden Teile mit einer Frist von fünf Jahren zum Ablauf eines Kalenderjahres gekündigt werden. Vor Ablauf von zehn Jahren nach Inkrafttreten dieses Staatsvertrags ist eine ordentliche Kündigung ausgeschlossen. Abweichend von den Sätzen 1 und 2 kann das Land Berlin den Staatsvertrag zum Ablauf des nächstfolgenden Kalenderjahres kündigen, wenn die Bestimmungen des bayerischen Gesetzes über das öffentliche Versorgungswesen gegenüber der beim Inkrafttreten dieses Staatsvertrags geltenden Fassung wesentlich geändert werden. Eine wesentliche Änderung ist anzunehmen, wenn die Regelungen zur Aufgabe der Ingenieurversorgung, zur Mitgliedschaft und Beitragspflicht der Mitglieder oder zu den Leistungen der Ingenieurversorgung nicht nur unerheblich geändert werden. Der Freistaat Bayern teilt dem Land Berlin die Absicht, Regelungen im Sinn des Satzes 4 zu ändern, zeitgerecht mit.</w:t>
      </w:r>
    </w:p>
    <w:p>
      <w:r>
        <w:t xml:space="preserve">(2) Im Fall der Kündigung übernimmt ein durch das Land Berlin innerhalb der Kündigungsfrist zu bestimmender Rechtsträger die Versorgungsverhältnisse der im Land Berlin beruflich tätigen Mitglieder sowie der im Land Berlin wohnhaften Versorgungsempfänger der Ingenieurversorgung. Auf diesen Rechtsträger gehen alle Rechte und Pflichten der Ingenieurversorgung aus den übernommenen Versorgungsverhältnissen über.</w:t>
      </w:r>
    </w:p>
    <w:p>
      <w:r>
        <w:t xml:space="preserve">(3) Es findet eine Auseinandersetzung des Vermögens nach versicherungsmathematischen Grundsätzen statt, wobei die im Zeitpunkt des Wirksamwerdens der Kündigung im technischen Geschäftsplan festgelegten Rechnungsgrundlagen maßgebend sind. Das zu verteilende Vermögen ergibt sich aus einer zum Tag des Wirksamwerdens der Kündigung zu erstellenden Auseinandersetzungsbilanz, wobei Verkehrswerte zugrunde zu legen sind. Von der Summe der aktiven Vermögenswerte ist die Summe der nichtversicherungstechnischen Verbindlichkeiten abzuziehen. Das so ermittelte Vermögen ist nach dem Verhältnis der versicherungstechnischen Verbindlichkeiten, die den ausscheidenden Mitgliederbestand betreffen, zu den versicherungstechnischen Verbindlichkeiten des verbleibenden Bestandes der Ingenieurversorgung aufzuteilen; soweit nichtversicherungstechnische Verbindlichkeiten vom Rechtsnachfolger übernommen werden, sind ihm die entsprechenden Deckungsmittel zu überlassen. Im Fall des Absatzes 1 Satz 3 ist von dem auf den Rechtsnachfolger zu übertragenden Teil des Vermögens ein Ausgleichsbetrag abzuziehen, der sich als Produkt der Zahl der Mitglieder des Übernahmebestands und des Betrags von 200,00 DM errechnet; er vermindert sich mit jedem seit Inkrafttreten dieses Staatsvertrags abgelaufenen Kalenderjahr um ein Zehntel seines Anfangswertes. Bei der Verteilung des Vermögens sind im Land Berlin in Grundstücken, grundstücksgleichen Rechten und Rechten an diesen angelegte Vermögenswerte auf Verlangen auf den Rechtsnachfolger zu übertragen; bei den übrigen Vermögenswerten ist die Ingenieurversorgung berechtigt, Wertpapiere und Grundbesitz in Geldwert abzulösen.</w:t>
      </w:r>
    </w:p>
    <w:p>
      <w:r>
        <w:t xml:space="preserve">(4) Die Auseinandersetzung des Vermögens bedarf der versicherungsaufsichtlichen Genehmigung durch das Bayerische Staatsministerium für Wirtschaft, Verkehr und Technologie. Die Genehmigung wird im Einvernehmen mit der Senatsverwaltung für Stadtentwicklung des Landes Berlin erteilt.</w:t>
      </w:r>
    </w:p>
    <w:p>
      <w:r>
        <w:rPr>
          <w:color w:val="555555"/>
          <w:sz w:val="17"/>
        </w:rPr>
        <w:t xml:space="preserve">Zitiervorschlag: Art 9 BauKMZStV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https://recht.nulegal.eu/gesetze/BauKMZStV/9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