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BauKMZStV (Bayern) — Anlage des Vermögens</w:t>
      </w:r>
    </w:p>
    <w:p>
      <w:r>
        <w:rPr>
          <w:color w:val="555555"/>
          <w:sz w:val="18"/>
        </w:rPr>
        <w:t xml:space="preserve">Staatsvertrag zwischen dem Freistaat Bayern und dem Land Berlin über die Zugehörigkeit der Mitglieder der Baukammer Berlin zur Bayerischen Ingenieurversorgung-Bau</w:t>
      </w:r>
    </w:p>
    <w:p>
      <w:r>
        <w:rPr>
          <w:color w:val="555555"/>
          <w:sz w:val="18"/>
        </w:rPr>
        <w:t xml:space="preserve">Landesrecht Bayern</w:t>
      </w:r>
    </w:p>
    <w:p>
      <w:r>
        <w:rPr>
          <w:color w:val="555555"/>
          <w:sz w:val="18"/>
        </w:rPr>
        <w:t xml:space="preserve">Stand: 25.08.2026 (konsolidierte Textfassung, kein amtliches Inkrafttretensdatum)</w:t>
      </w:r>
    </w:p>
    <w:p>
      <w:r>
        <w:t xml:space="preserve">Das Vermögen der Ingenieurversorgung, das nach Inkrafttreten dieses Staatsvertrags gebildet wird, soll entsprechend dem Anteil des Beitragsaufkommens der Mitglieder aus dem Land Berlin am Gesamtbeitragsaufkommen der Ingenieurversorgung im Land Berlin angelegt werden.</w:t>
      </w:r>
    </w:p>
    <w:p>
      <w:r>
        <w:rPr>
          <w:color w:val="555555"/>
          <w:sz w:val="17"/>
        </w:rPr>
        <w:t xml:space="preserve">Zitiervorschlag: Art 5 BauKMZStV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https://recht.nulegal.eu/gesetze/BauKMZStV/5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