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BauKMZStV (Bayern) — Sonderbestimmung für Altmitglieder</w:t>
      </w:r>
    </w:p>
    <w:p>
      <w:r>
        <w:rPr>
          <w:color w:val="555555"/>
          <w:sz w:val="18"/>
        </w:rPr>
        <w:t xml:space="preserve">Staatsvertrag zwischen dem Freistaat Bayern und dem Land Berlin über die Zugehörigkeit der Mitglieder der Baukammer Berlin zur Bayerischen Ingenieurversorgung-Bau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Bestimmungen der §§ 1 bis 3 finden keine Anwendung auf diejenigen Mitglieder der Baukammer Berlin, die im Zeitpunkt des Inkrafttretens dieses Staatsvertrags bereits Mitglieder der Ingenieurversorgung sind.</w:t>
      </w:r>
    </w:p>
    <w:p>
      <w:r>
        <w:rPr>
          <w:color w:val="555555"/>
          <w:sz w:val="17"/>
        </w:rPr>
        <w:t xml:space="preserve">Zitiervorschlag: § 4 BauKMZStV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https://recht.nulegal.eu/gesetze/BauKMZStV/4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