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 BauKMZStV (Bayern) — Mitgliedschaft</w:t>
      </w:r>
    </w:p>
    <w:p>
      <w:r>
        <w:rPr>
          <w:color w:val="555555"/>
          <w:sz w:val="18"/>
        </w:rPr>
        <w:t xml:space="preserve">Staatsvertrag zwischen dem Freistaat Bayern und dem Land Berlin über die Zugehörigkeit der Mitglieder der Baukammer Berlin zur Bayerischen Ingenieurversorgung-Bau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nicht berufsunfähigen Mitglieder der Baukammer Berlin sind Pflichtmitglieder der Bayerischen Ingenieurversorgung-Bau (Ingenieurversorgung).</w:t>
      </w:r>
    </w:p>
    <w:p>
      <w:r>
        <w:t xml:space="preserve">(2) In der gesetzlichen Rentenversicherung pflichtversicherte gesetzliche Vertreter von Ingenieurgesellschaften (§ 33 in Verbindung mit § 41 Abs. 1 Nr. 3 ABKG) werden auf schriftlichen Antrag von der Pflichtmitgliedschaft in der Ingenieurversorgung befreit. § 14 Abs. 2 und 3 der Satzung der Ingenieurversorgung gelten entsprechend.</w:t>
      </w:r>
    </w:p>
    <w:p>
      <w:r>
        <w:rPr>
          <w:color w:val="555555"/>
          <w:sz w:val="17"/>
        </w:rPr>
        <w:t xml:space="preserve">Zitiervorschlag: Art 1 BauKMZStV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https://recht.nulegal.eu/gesetze/BauKMZStV/1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