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BauArbbV10 — Anwendungsausnahmen</w:t>
      </w:r>
    </w:p>
    <w:p>
      <w:r>
        <w:rPr>
          <w:color w:val="555555"/>
          <w:sz w:val="18"/>
        </w:rPr>
        <w:t xml:space="preserve">Zehnte Bauarbeitsbedingungenverordnung</w:t>
      </w:r>
    </w:p>
    <w:p>
      <w:r>
        <w:rPr>
          <w:color w:val="555555"/>
          <w:sz w:val="18"/>
        </w:rPr>
        <w:t xml:space="preserve">Historische Fassung: Stand 10.06.2019 bis 02.01.2020. Dies ist nicht die aktuelle Fassung.</w:t>
      </w:r>
    </w:p>
    <w:p>
      <w:r>
        <w:t xml:space="preserve">(1) Diese Verordnung erstreckt sich nicht auf Betriebe und selbstständige Betriebsabteilungen mit Sitz im Inland, die unter einen der in der Anlage 2 abgedruckten fachlichen Geltungsbereiche der am 1. Januar 2003 geltenden Mantel- oder Rahmentarifverträge der holz- und kunststoffverarbeitenden Industrie, der Sägeindustrie und übrigen Holzbearbeitung, der Steine- und Erden-Industrie, der Mörtelindustrie, der Transportbetonindustrie, der chemischen oder kunststoffverarbeitenden Industrie oder der Metall- und Elektroindustrie fallen.</w:t>
      </w:r>
    </w:p>
    <w:p>
      <w:r>
        <w:t xml:space="preserve">(2) Absatz 1 gilt für Betriebe und selbstständige Betriebsabteilungen mit Sitz im Inland,</w:t>
      </w:r>
    </w:p>
    <w:p>
      <w:pPr>
        <w:ind w:left="420"/>
      </w:pPr>
      <w:r>
        <w:t xml:space="preserve">1. die unmittelbar oder mittelbar Mitglied des Hauptverbands der Holz und Kunststoffe verarbeitenden Industrie und verwandter Industriezweige e. V., der Vereinigung Deutscher Sägewerksverbände e. V., der Sozialpolitischen Arbeitsgemeinschaft Steine und Erden, des Bundesverbands der Deutschen Mörtelindustrie e. V., des Bundesverbands der Deutschen Transportbetonindustrie e. V., des Bundesarbeitgeberverbands Chemie e. V., der Verbände der kunststoffverarbeitenden Industrie oder eines in der Anlage 3 genannten Arbeitgeberverbands im Gesamtverband der Arbeitgeberverbände der Metall- und Elektro-Industrie e. V. (Gesamtmetall) oder eines ihrer Mitgliedsverbände sind; wurde die Mitgliedschaft bis zum 1. Juli 1999 (Stichtag) erworben, wird unwiderlegbar vermutet, dass die Voraussetzungen des Absatzes 1 erfüllt sind;</w:t>
      </w:r>
    </w:p>
    <w:p>
      <w:pPr>
        <w:ind w:left="420"/>
      </w:pPr>
      <w:r>
        <w:t xml:space="preserve">2. die</w:t>
      </w:r>
    </w:p>
    <w:p>
      <w:pPr>
        <w:ind w:left="780"/>
      </w:pPr>
      <w:r>
        <w:t xml:space="preserve">a) nachweislich als Niederlassung eines Betriebs nach Absatz 1 (Stammbetrieb), der bereits vor dem Stichtag unmittelbar oder mittelbar Mitglied eines der in Nummer 1 genannten Verbände war, nachgegründet worden sind,</w:t>
      </w:r>
    </w:p>
    <w:p>
      <w:pPr>
        <w:ind w:left="780"/>
      </w:pPr>
      <w:r>
        <w:t xml:space="preserve">b) überwiegend solche Tätigkeiten ausführen, die zum fachlichen Geltungsbereich der in Absatz 1 genannten Tarifverträge gehören, und</w:t>
      </w:r>
    </w:p>
    <w:p>
      <w:pPr>
        <w:ind w:left="780"/>
      </w:pPr>
      <w:r>
        <w:t xml:space="preserve">c) die Mitgliedschaft in einem der in Nummer 1 genannten Verbände erworben haben;</w:t>
      </w:r>
    </w:p>
    <w:p>
      <w:pPr>
        <w:ind w:left="420"/>
      </w:pPr>
      <w:r>
        <w:t xml:space="preserve">wenn diese Betriebe nachweislich zu drei Viertel ihrer betrieblichen Arbeitszeit für den Stammbetrieb tätig sind, wird unwiderlegbar vermutet, dass sie unter einen der fachlichen Geltungsbereiche der in Absatz 1 genannten Tarifverträge fallen;</w:t>
      </w:r>
    </w:p>
    <w:p>
      <w:pPr>
        <w:ind w:left="420"/>
      </w:pPr>
      <w:r>
        <w:t xml:space="preserve">3. die, ohne selbst Mitglied in einem der Verbände nach Nummer 1 zu sein,</w:t>
      </w:r>
    </w:p>
    <w:p>
      <w:pPr>
        <w:ind w:left="780"/>
      </w:pPr>
      <w:r>
        <w:t xml:space="preserve">a) nachweislich als Niederlassung eines Stammbetriebs, der bereits vor dem Stichtag unmittelbar oder mittelbar Mitglied eines der in Nummer 1 genannten Verbände war, nachgegründet worden sind,</w:t>
      </w:r>
    </w:p>
    <w:p>
      <w:pPr>
        <w:ind w:left="780"/>
      </w:pPr>
      <w:r>
        <w:t xml:space="preserve">b) unter einen der fachlichen Geltungsbereiche der in Absatz 1 genannten Tarifverträge fallen und</w:t>
      </w:r>
    </w:p>
    <w:p>
      <w:pPr>
        <w:ind w:left="780"/>
      </w:pPr>
      <w:r>
        <w:t xml:space="preserve">c) zumindest zu drei Viertel der betrieblichen Arbeitszeit für ihren Stammbetrieb tätig sind.</w:t>
      </w:r>
    </w:p>
    <w:p>
      <w:r>
        <w:t xml:space="preserve">(3) Für Betriebe und selbstständige Betriebsabteilungen mit Sitz im Inland, die bereits seit einem Jahr Fertigbauarbeiten ausführen, gilt die Ausnahme gemäß Absatz 1, wenn sie unmittelbar oder mittelbar Mitglied eines der in Absatz 2 Nummer 1 genannten Verbände geworden sind.</w:t>
      </w:r>
    </w:p>
    <w:p>
      <w:r>
        <w:t xml:space="preserve">(4) Diese Verordnung erstreckt sich nicht auf Betriebe und selbstständige Betriebsabteilungen mit Sitz im Inland,</w:t>
      </w:r>
    </w:p>
    <w:p>
      <w:pPr>
        <w:ind w:left="420"/>
      </w:pPr>
      <w:r>
        <w:t xml:space="preserve">1. die von einem der Rahmentarifverträge für die gewerblichen Arbeitnehmer im Maler- und Lackiererhandwerk in der Bundesrepublik Deutschland bzw. im Saarland oder deren Allgemeinverbindlicherklärung erfasst werden und überwiegend Tätigkeiten ausüben, die im fachlichen Geltungsbereich des Rahmentarifvertrags für die gewerblichen Arbeitnehmer im Maler- und Lackiererhandwerk in der Bundesrepublik Deutschland in der Fassung vom 6. April 2005 bzw. des Rahmentarifvertrags für die gewerblichen Arbeitnehmer des Maler- und Lackiererhandwerks im Saarland in der Fassung vom 6. Dezember 2005 (Anlage 4 Abschnitt I) genannt sind;</w:t>
      </w:r>
    </w:p>
    <w:p>
      <w:pPr>
        <w:ind w:left="420"/>
      </w:pPr>
      <w:r>
        <w:t xml:space="preserve">2. die ganz oder teilweise Bauwerke, Bauwerksteile oder einzelne Elemente aus Mauerwerk, Beton, Stahlbeton, Eisen, Stahl oder sonstigen Baustoffen, technische Anlagen abbrechen, demontieren, sprengen, Beton schneiden, sägen, bohren, pressen, soweit sie unmittelbar oder mittelbar tarifgebundenes Mitglied im Deutschen Abbruchverband e. V., im Fachverband Betonbohren und -sägen Deutschland e. V. oder im Abbruchverband Nord e. V. sind;</w:t>
      </w:r>
    </w:p>
    <w:p>
      <w:pPr>
        <w:ind w:left="420"/>
      </w:pPr>
      <w:r>
        <w:t xml:space="preserve">3. die unmittelbar oder mittelbar Mitglied des Bundesverbands Garten-, Landschafts- und Sportplatzbau e. V. sind, vom Bundesrahmentarifvertrag für gewerbliche Arbeitnehmer im Garten-, Landschafts- und Sportplatzbau vom 20. Dezember 1995 erfasst werden und überwiegend folgende Tätigkeiten ausüben:</w:t>
      </w:r>
    </w:p>
    <w:p>
      <w:pPr>
        <w:ind w:left="780"/>
      </w:pPr>
      <w:r>
        <w:t xml:space="preserve">a) Herstellen und Unterhalten von Außenanlagen in den Bereichen des privaten und öffentlichen Wohnungsbaues (Hausgärten, Siedlungsgrün, Dach- und Terrassengärten und Ähnliches), der öffentlichen Bauten (Schulen, Krankenhäuser, Verwaltungsgebäude, Kasernen und Ähnliches), des kommunalen Grüns (städtische Freiräume, Grünanlagen, Parks, Friedhöfe und Ähnliches) und des Verkehrsbegleitgrüns (Straßen, Schienenwege, Wasserstraßen, Flugplätze und Ähnliches) sowie von Bauwerksbegrünungen im Außen- und Innenbereich,</w:t>
      </w:r>
    </w:p>
    <w:p>
      <w:pPr>
        <w:ind w:left="780"/>
      </w:pPr>
      <w:r>
        <w:t xml:space="preserve">b) Herstellen und Unterhalten von Sport- und Spielplätzen, Außenanlagen an Schwimmbädern, Freizeitanlagen und Ähnlichem, von landschaftsgärtnerischen Sicherungsbauwerken in der Landschaft mit lebenden und nicht lebenden Baustoffen sowie von vegetationstechnischen Baumaßnahmen zur Landschaftspflege und zum Umweltschutz, ferner Drän-, Landgewinnungs- und Rekultivierungsarbeiten,</w:t>
      </w:r>
    </w:p>
    <w:p>
      <w:pPr>
        <w:ind w:left="420"/>
      </w:pPr>
      <w:r>
        <w:t xml:space="preserve">wenn im Betrieb oder in der selbstständigen Betriebsabteilung kalenderjährlich mindestens zu 20 Prozent der betrieblichen Gesamtarbeitszeit Grünarbeiten ausgeführt werden;</w:t>
      </w:r>
    </w:p>
    <w:p>
      <w:pPr>
        <w:ind w:left="420"/>
      </w:pPr>
      <w:r>
        <w:t xml:space="preserve">4. die als tarifgebundenes Lohnunternehmen in der Land- und Forstwirtschaft überwiegend landwirtschaftliche Flächen drainieren, soweit sie von dem Bundesrahmentarifvertrag für die Arbeitnehmerinnen und Arbeitnehmer der land- und forstwirtschaftlichen Lohnunternehmen in der Bundesrepublik Deutschland vom 10. Januar 2003 erfasst werden;</w:t>
      </w:r>
    </w:p>
    <w:p>
      <w:pPr>
        <w:ind w:left="420"/>
      </w:pPr>
      <w:r>
        <w:t xml:space="preserve">5. die unmittelbar oder mittelbar tarifgebundenes Mitglied des Bundesverbands Holz und Kunststoff sind (Mitgliedschaft) und von einem Rahmen- oder Manteltarifvertrag dieses Verbands oder eines seiner Mitgliedsverbände erfasst werden und überwiegend Tätigkeiten ausüben, die zum in Anlage 4 Abschnitt II aufgeführten fachlichen Geltungsbereich gehören (Fachlichkeit); wurde die Mitgliedschaft bis zum 30. Juni 2014 (Stichtag) erworben, wird unwiderlegbar vermutet, dass überwiegend Tätigkeiten ausgeübt werden, die in Anlage 4 Abschnitt II aufgeführt sind;</w:t>
      </w:r>
    </w:p>
    <w:p>
      <w:pPr>
        <w:ind w:left="420"/>
      </w:pPr>
      <w:r>
        <w:t xml:space="preserve">6. die unmittelbar oder mittelbar tarifgebundenes Mitglied des Bundesverbands Metall – Vereinigung Deutscher Metallhandwerke sind (Mitgliedschaft) und von einem Mantel- oder Rahmentarifvertrag dieses Verbands oder eines seiner Mitgliedsverbände erfasst werden und überwiegend Tätigkeiten ausüben, die zum in Anlage 4 Abschnitt III aufgeführten fachlichen Geltungsbereich gehören (Fachlichkeit); wurde die Mitgliedschaft bis zum 30. Juni 2014 (Stichtag) erworben, wird unwiderlegbar vermutet, dass überwiegend Tätigkeiten ausgeübt werden, die in Anlage 4 Abschnitt III aufgeführt sind;</w:t>
      </w:r>
    </w:p>
    <w:p>
      <w:pPr>
        <w:ind w:left="420"/>
      </w:pPr>
      <w:r>
        <w:t xml:space="preserve">7. die unmittelbar oder mittelbar tarifgebundenes Mitglied des Zentralverbands Sanitär Heizung Klima sind (Mitgliedschaft) und von einem Mantel- oder Rahmentarifvertrag dieses Verbands oder eines seiner Mitgliedsverbände erfasst werden und überwiegend Tätigkeiten ausüben, die zum in Anlage 4 Abschnitt IV aufgeführten fachlichen Geltungsbereich gehören (Fachlichkeit); wurde die Mitgliedschaft bis zum 30. Juni 2014 (Stichtag) erworben, wird unwiderlegbar vermutet, dass überwiegend Tätigkeiten ausgeübt werden, die in Anlage 4 Abschnitt IV aufgeführt sind;</w:t>
      </w:r>
    </w:p>
    <w:p>
      <w:pPr>
        <w:ind w:left="420"/>
      </w:pPr>
      <w:r>
        <w:t xml:space="preserve">8. die unmittelbar oder mittelbar tarifgebundenes Mitglied des Zentralverbands der Deutschen Elektro- und Informationstechnischen Handwerke sind (Mitgliedschaft) und von einem Mantel- oder Rahmentarifvertrag dieses Verbands oder eines seiner Mitgliedsverbände erfasst werden und überwiegend Tätigkeiten ausüben, die zum in Anlage 4 Abschnitt V aufgeführten fachlichen Geltungsbereich gehören (Fachlichkeit); wurde die Mitgliedschaft bis zum 30. Juni 2014 (Stichtag) erworben, wird unwiderlegbar vermutet, dass überwiegend Tätigkeiten ausgeübt werden, die in Anlage 4 Abschnitt V aufgeführt sind.</w:t>
      </w:r>
    </w:p>
    <w:p>
      <w:r>
        <w:t xml:space="preserve">(5) Diese Verordnung erstreckt sich nicht auf Betriebe und selbstständige Betriebsabteilungen von Arbeitgebern mit Sitz im Ausland, wenn sie überwiegend Tätigkeiten ausüben, die in den vorstehenden Absätzen oder in der Anlage 2 oder Anlage 4 dieser Verordnung aufgeführt sind, soweit aufgrund der Ausübung dieser Tätigkeiten ein in einem vorstehenden Absatz oder in der Anlage 2 oder Anlage 4 genannter fachlicher Geltungsbereich eröffnet ist.</w:t>
      </w:r>
    </w:p>
    <w:p>
      <w:r>
        <w:rPr>
          <w:color w:val="555555"/>
          <w:sz w:val="17"/>
        </w:rPr>
        <w:t xml:space="preserve">Zitiervorschlag: § 2 BauArbbV10</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https://recht.nulegal.eu/gesetze/BauArbbV10/2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