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BauArbbV 12 — Zwingende Arbeitsbedingungen</w:t>
      </w:r>
    </w:p>
    <w:p>
      <w:r>
        <w:rPr>
          <w:color w:val="555555"/>
          <w:sz w:val="18"/>
        </w:rPr>
        <w:t xml:space="preserve">Zwölfte Bauarbeitsbedingungenverordnung</w:t>
      </w:r>
    </w:p>
    <w:p>
      <w:r>
        <w:rPr>
          <w:color w:val="555555"/>
          <w:sz w:val="18"/>
        </w:rPr>
        <w:t xml:space="preserve">Historische Fassung: Stand 05.05.2021 bis 01.01.2022. Dies ist nicht die aktuelle Fassung.</w:t>
      </w:r>
    </w:p>
    <w:p>
      <w:r>
        <w:t xml:space="preserve">(1) Die in der Anlage 1 zu dieser Verordnung aufgeführten Rechtsnormen des Tarifvertrags zur Regelung der Mindestlöhne im Baugewerbe im Gebiet der Bundesrepublik Deutschland (TV Mindestlohn) vom 29. Januar 2021, abgeschlossen zwischen dem Zentralverband des Deutschen Baugewerbes e. V., Kronenstraße 55 – 58, 10117 Berlin, und dem Hauptverband der Deutschen Bauindustrie e. V., Kurfürstenstraße 129, 10785 Berlin, einerseits sowie der Industriegewerkschaft Bauen-Agrar-Umwelt, Olof-Palme-Straße 19, 60439 Frankfurt am Main, andererseits, finden auf alle nicht an ihn gebundenen Arbeitgeber sowie Arbeitnehmer und Arbeitnehmerinnen Anwendung, die unter seinen am 1. Mai 2021 gültigen Geltungsbereich fallen, wenn der Betrieb oder die selbstständige Betriebsabteilung im Sinne des fachlichen Geltungsbereichs des TV Mindestlohn überwiegend Bauleistungen im Sinne des § 101 Absatz 2 des Dritten Buches Sozialgesetzbuch erbringt.</w:t>
      </w:r>
    </w:p>
    <w:p>
      <w:r>
        <w:t xml:space="preserve">(2) Die Rechtsnormen des TV Mindestlohn gelten auch für Arbeitsverhältnisse zwischen einem Arbeitgeber mit Sitz im Ausland und seinen im Geltungsbereich dieser Verordnung beschäftigten Arbeitnehmern und Arbeitnehmerinnen.</w:t>
      </w:r>
    </w:p>
    <w:p>
      <w:r>
        <w:t xml:space="preserve">(3)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BauArbbV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https://recht.nulegal.eu/gesetze/BauArbbV%2012/1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