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BattGDV — Behandlung und Verwertung</w:t>
      </w:r>
    </w:p>
    <w:p>
      <w:r>
        <w:rPr>
          <w:color w:val="555555"/>
          <w:sz w:val="18"/>
        </w:rPr>
        <w:t xml:space="preserve">Verordnung zur Durchführung des Batteriegesetzes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(1) Die Behandlung nach § 14 Absatz 1 Satz 1 des Batteriegesetzes muss mindestens die Entfernung aller Flüssigkeiten und Säuren umfassen.</w:t>
      </w:r>
    </w:p>
    <w:p>
      <w:r>
        <w:t xml:space="preserve">(2) Die Behandlung und die Lagerung von Altbatterien in Behandlungsanlagen dürfen nur an Standorten mit undurchlässigen Oberflächen und geeigneter, wetterbeständiger Abdeckung oder in geeigneten Behältern erfolgen; dies gilt auch für eine nur vorübergehende Lagerung.</w:t>
      </w:r>
    </w:p>
    <w:p>
      <w:r>
        <w:t xml:space="preserve">(3) Mit den eingesetzten Verwertungsverfahren müssen spätestens zum 26. September 2011 folgende Mindestziele (Verwertungseffizienzen) erreicht werden:</w:t>
      </w:r>
    </w:p>
    <w:p>
      <w:pPr>
        <w:ind w:left="420"/>
      </w:pPr>
      <w:r>
        <w:t xml:space="preserve">1. stoffliche Verwertung von 65 Prozent der durchschnittlichen Masse von Blei-Säure-Altbatterien bei einem Höchstmaß an stofflicher Verwertung des Bleigehalts, das wirtschaftlich zumutbar und technisch erreichbar ist,</w:t>
      </w:r>
    </w:p>
    <w:p>
      <w:pPr>
        <w:ind w:left="420"/>
      </w:pPr>
      <w:r>
        <w:t xml:space="preserve">2. stoffliche Verwertung von 75 Prozent der durchschnittlichen Masse von Nickel-Cadmium-Altbatterien bei einem Höchstmaß an stofflicher Verwertung des Cadmiumgehalts, das wirtschaftlich zumutbar und technisch erreichbar ist,</w:t>
      </w:r>
    </w:p>
    <w:p>
      <w:pPr>
        <w:ind w:left="420"/>
      </w:pPr>
      <w:r>
        <w:t xml:space="preserve">3. stoffliche Verwertung von 50 Prozent der durchschnittlichen Masse sonstiger Altbatterien.</w:t>
      </w:r>
    </w:p>
    <w:p>
      <w:r>
        <w:rPr>
          <w:color w:val="555555"/>
          <w:sz w:val="17"/>
        </w:rPr>
        <w:t xml:space="preserve">Zitiervorschlag: § 3 BattGDV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https://recht.nulegal.eu/gesetze/BattGDV/3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