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BattGDV — Begriffsbestimmungen</w:t>
      </w:r>
    </w:p>
    <w:p>
      <w:r>
        <w:rPr>
          <w:color w:val="555555"/>
          <w:sz w:val="18"/>
        </w:rPr>
        <w:t xml:space="preserve">Verordnung zur Durchführung des Batteriegesetzes</w:t>
      </w:r>
    </w:p>
    <w:p>
      <w:r>
        <w:rPr>
          <w:color w:val="555555"/>
          <w:sz w:val="18"/>
        </w:rPr>
        <w:t xml:space="preserve">Historische Fassung: Stand 10.06.2019 bis 01.01.2021. Dies ist nicht die aktuelle Fassung.</w:t>
      </w:r>
    </w:p>
    <w:p>
      <w:r>
        <w:t xml:space="preserve">Für diese Verordnung gelten die in § 2 des Batteriegesetzes geregelten Begriffsbestimmungen.</w:t>
      </w:r>
    </w:p>
    <w:p>
      <w:r>
        <w:rPr>
          <w:color w:val="555555"/>
          <w:sz w:val="17"/>
        </w:rPr>
        <w:t xml:space="preserve">Zitiervorschlag: § 1 BattGDV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https://recht.nulegal.eu/gesetze/BattGDV/1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