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BattG — Pflichten der Vertreiber</w:t>
      </w:r>
    </w:p>
    <w:p>
      <w:r>
        <w:rPr>
          <w:color w:val="555555"/>
          <w:sz w:val="18"/>
        </w:rPr>
        <w:t xml:space="preserve">Batteriegesetz</w:t>
      </w:r>
    </w:p>
    <w:p>
      <w:r>
        <w:rPr>
          <w:color w:val="555555"/>
          <w:sz w:val="18"/>
        </w:rPr>
        <w:t xml:space="preserve">Außer Kraft: § 9 ist seit 07.10.2025 nicht mehr im BattG enthalten. Angezeigt wird die letzte bekannte Fassung, Stand 01.01.2021.</w:t>
      </w:r>
    </w:p>
    <w:p>
      <w:r>
        <w:t xml:space="preserve">(1) Jeder Vertreiber ist verpflichtet, vom Endnutzer Altbatterien an oder in unmittelbarer Nähe des Handelsgeschäfts unentgeltlich zurückzunehmen. Die Rücknahmeverpflichtung nach Satz 1 beschränkt sich auf Altbatterien der Art im Sinne von § 2 Absatz 2 bis 6, die der Vertreiber als Neubatterien in seinem Sortiment führt oder geführt hat, sowie auf die Menge, derer sich Endnutzer üblicherweise entledigen. Satz 1 erstreckt sich nicht auf Produkte mit eingebauten Altbatterien; das Elektro- und Elektronikgerätegesetz und die Altfahrzeug-Verordnung bleiben unberührt. Im Versandhandel ist Handelsgeschäft im Sinne von Satz 1 das Versandlager.</w:t>
      </w:r>
    </w:p>
    <w:p>
      <w:r>
        <w:t xml:space="preserve">(2) Die Vertreiber nach Absatz 1 Satz 1 sind verpflichtet, zurückgenommene Geräte-Altbatterien einem Rücknahmesystem nach § 7 Absatz 1 Satz 1 zu überlassen. Die Bindung an ein Rücknahmesystem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2 und 3 gelten nicht, sofern die Genehmigung des Rücknahmesystems während der Laufzeit entfällt.</w:t>
      </w:r>
    </w:p>
    <w:p>
      <w:r>
        <w:t xml:space="preserve">(3) Soweit ein Vertreiber vom Angebot nach § 8 Absatz 1 keinen Gebrauch macht und Fahrzeug- und Industriebatterien selbst verwertet oder Dritten zur Verwertung überlässt, hat er sicherzustellen, dass die Anforderungen des § 14 erfüllt werden. Für Fahrzeug- und Industriebatterien, die der Vertreiber einem gewerblichen Altbatterieentsorger mit dem Ziel der Verwertung überlässt, gelten die Anforderungen des § 14 zu Gunsten des Vertreibers als erfüllt. Satz 2 gilt auch für Fahrzeugbatterien, die der Vertreiber einem öffentlich-rechtlichen Entsorgungsträger mit dem Ziel der Verwertung überlässt.</w:t>
      </w:r>
    </w:p>
    <w:p>
      <w:r>
        <w:t xml:space="preserve">(4) Die Kosten für die Rücknahme, Sortierung, Verwertung und Beseitigung von Geräte-Altbatterien dürfen beim Vertrieb neuer Gerätebatterien gegenüber dem Endnutzer nicht getrennt ausgewiesen werden.</w:t>
      </w:r>
    </w:p>
    <w:p>
      <w:r>
        <w:rPr>
          <w:color w:val="555555"/>
          <w:sz w:val="17"/>
        </w:rPr>
        <w:t xml:space="preserve">Zitiervorschlag: § 9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