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BattG — Ökologische Gestaltung der Beiträge</w:t>
      </w:r>
    </w:p>
    <w:p>
      <w:r>
        <w:rPr>
          <w:color w:val="555555"/>
          <w:sz w:val="18"/>
        </w:rPr>
        <w:t xml:space="preserve">Batteriegesetz</w:t>
      </w:r>
    </w:p>
    <w:p>
      <w:r>
        <w:rPr>
          <w:color w:val="555555"/>
          <w:sz w:val="18"/>
        </w:rPr>
        <w:t xml:space="preserve">Außer Kraft: § 7a ist seit 07.10.2025 nicht mehr im BattG enthalten. Angezeigt wird die letzte bekannte Fassung, Stand 01.01.2021.</w:t>
      </w:r>
    </w:p>
    <w:p>
      <w:r>
        <w:t xml:space="preserve">Die Rücknahmesysteme sind verpflichtet, im Rahmen der Bemessung der Beiträge der Hersteller oder der Bevollmächtigten Anreize dafür zu schaffen, dass bei der Herstellung von Gerätebatterien die Verwendung von gefährlichen Stoffen minimiert wird. Bei der Bemessung der Beiträge sind auch die Langlebigkeit, die Wiederverwendbarkeit und die Recyclingfähigkeit der Gerätebatterien zu berücksichtigen. Der jeweilige Beitrag hat sich dabei an den einzelnen chemischen Systemen der Gerätebatterien zu orientieren.</w:t>
      </w:r>
    </w:p>
    <w:p>
      <w:r>
        <w:rPr>
          <w:color w:val="555555"/>
          <w:sz w:val="17"/>
        </w:rPr>
        <w:t xml:space="preserve">Zitiervorschlag: § 7a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