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BattG — Rücknahmepflichten der Hersteller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5 ist seit 07.10.2025 nicht mehr im BattG enthalten. Angezeigt wird die letzte bekannte Fassung, Stand 01.01.2021.</w:t>
      </w:r>
    </w:p>
    <w:p>
      <w:r>
        <w:t xml:space="preserve">(1) Die Hersteller oder im Fall der Bevollmächtigung nach § 26 Absatz 2 deren Bevollmächtigte sind verpflichtet, die von den Vertreibern nach § 9 Absatz 1 Satz 1 zurückgenommenen Altbatterien sowie die von öffentlich-rechtlichen Entsorgungsträgern nach § 13 Absatz 1 erfassten und die von den freiwilligen Rücknahmestellen nach § 13a zurückgenommenen Geräte-Altbatterien unentgeltlich zurückzunehmen und nach § 14 zu behandeln und zu verwerten. Nicht verwertbare Altbatterien sind nach § 14 zu beseitigen.</w:t>
      </w:r>
    </w:p>
    <w:p>
      <w:r>
        <w:t xml:space="preserve">(2) Absatz 1 gilt auch für Altbatterien, die bei der Behandlung von Altgeräten nach den Vorschriften des Elektro- und Elektronikgerätegesetzes und bei der Behandlung von Altfahrzeugen nach den Vorschriften der Altfahrzeug-Verordnung anfallen.</w:t>
      </w:r>
    </w:p>
    <w:p>
      <w:r>
        <w:rPr>
          <w:color w:val="555555"/>
          <w:sz w:val="17"/>
        </w:rPr>
        <w:t xml:space="preserve">Zitiervorschlag: § 5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