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BattG — Verkehrsverbote</w:t>
      </w:r>
    </w:p>
    <w:p>
      <w:r>
        <w:rPr>
          <w:color w:val="555555"/>
          <w:sz w:val="18"/>
        </w:rPr>
        <w:t xml:space="preserve">Batteriegesetz</w:t>
      </w:r>
    </w:p>
    <w:p>
      <w:r>
        <w:rPr>
          <w:color w:val="555555"/>
          <w:sz w:val="18"/>
        </w:rPr>
        <w:t xml:space="preserve">Außer Kraft: § 3 ist seit 07.10.2025 nicht mehr im BattG enthalten. Angezeigt wird die letzte bekannte Fassung, Stand 01.01.2021.</w:t>
      </w:r>
    </w:p>
    <w:p>
      <w:r>
        <w:t xml:space="preserve">(1) Das Inverkehrbringen von Batterien, die mehr als 0,0005 Gewichtsprozent Quecksilber enthalten, ist verboten.</w:t>
      </w:r>
    </w:p>
    <w:p>
      <w:r>
        <w:t xml:space="preserve">(2) Das Inverkehrbringen von Gerätebatterien, die mehr als 0,002 Gewichtsprozent Cadmium enthalten, ist verboten. Von dem Verbot ausgenommen sind Gerätebatterien, die für Not- oder Alarmsysteme einschließlich Notbeleuchtung und für medizinische Ausrüstung bestimmt sind. Satz 1 gilt nicht für Batterien, die nach Anhang II der Richtlinie 2000/53/EG des Europäischen Parlaments und des Rates vom 18. September 2000 über Altfahrzeuge (ABl. L 269 vom 21.10.2000, S. 34), die zuletzt durch die Richtlinie 2008/33/EG (ABl. L 81 vom 20.3.2008, S. 62) geändert worden ist, in der jeweils geltenden Fassung vom Cadmiumverbot des Artikels 4 Absatz 2 Buchstabe a der Richtlinie 2000/53/EG ausgenommen sind.</w:t>
      </w:r>
    </w:p>
    <w:p>
      <w:r>
        <w:t xml:space="preserve">(3) Hersteller dürfen Batterien im Geltungsbereich dieses Gesetzes nur in Verkehr bringen, wenn sie oder deren Bevollmächtigte</w:t>
      </w:r>
    </w:p>
    <w:p>
      <w:pPr>
        <w:ind w:left="420"/>
      </w:pPr>
      <w:r>
        <w:t xml:space="preserve">1. nach § 4 Absatz 1 Satz 1 bei der zuständigen Behörde ordnungsgemäß registriert sind und</w:t>
      </w:r>
    </w:p>
    <w:p>
      <w:pPr>
        <w:ind w:left="420"/>
      </w:pPr>
      <w:r>
        <w:t xml:space="preserve">2. durch Erfüllung der ihnen nach § 5 in Verbindung mit § 7 Absatz 1 Satz 1 für Gerätebatterien oder nach § 5 in Verbindung mit § 8 Absatz 1 Satz 1 für Fahrzeug- und Industriebatterien jeweils obliegenden Rücknahmepflichten sicherstellen, dass Altbatterien nach Maßgabe dieses Gesetzes zurückgegeben werden können.</w:t>
      </w:r>
    </w:p>
    <w:p>
      <w:r>
        <w:t xml:space="preserve">(4) Vertreiber dürfen Batterien im Geltungsbereich dieses Gesetzes für den Endnutzer nur anbieten, wenn sie durch Erfüllung der ihnen nach § 9 Absatz 1 Satz 1 obliegenden Rücknahmepflichten sicherstellen, dass der Endnutzer Altbatterien nach Maßgabe dieses Gesetzes zurückgeben kann. Das Anbieten von Batterien ist untersagt, wenn deren Hersteller oder deren Bevollmächtigte entgegen § 4 Absatz 1 Satz 1 nicht oder nicht ordnungsgemäß registriert sind.</w:t>
      </w:r>
    </w:p>
    <w:p>
      <w:r>
        <w:t xml:space="preserve">(5) Batterien, die entgegen den Absätzen 1 und 2 im Geltungsbereich dieses Gesetzes in Verkehr gebracht werden, sind durch den jeweiligen Hersteller wieder vom Markt zu nehmen.</w:t>
      </w:r>
    </w:p>
    <w:p>
      <w:r>
        <w:rPr>
          <w:color w:val="555555"/>
          <w:sz w:val="17"/>
        </w:rPr>
        <w:t xml:space="preserve">Zitiervorschlag: § 3 BattG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