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BattG — Ermächtigung zum Erlass von Rechtsverordnungen</w:t>
      </w:r>
    </w:p>
    <w:p>
      <w:r>
        <w:rPr>
          <w:color w:val="555555"/>
          <w:sz w:val="18"/>
        </w:rPr>
        <w:t xml:space="preserve">Batteriegesetz</w:t>
      </w:r>
    </w:p>
    <w:p>
      <w:r>
        <w:rPr>
          <w:color w:val="555555"/>
          <w:sz w:val="18"/>
        </w:rPr>
        <w:t xml:space="preserve">Außer Kraft: § 27 ist seit 07.10.2025 nicht mehr im BattG enthalten. Angezeigt wird die letzte bekannte Fassung, Stand 01.01.2021.</w:t>
      </w:r>
    </w:p>
    <w:p>
      <w:r>
        <w:t xml:space="preserve">Das Bundesministerium für Umwelt, Naturschutz und nukleare Sicherheit wird ermächtigt, durch Rechtsverordnung, die nicht der Zustimmung des Bundesrates bedarf,</w:t>
      </w:r>
    </w:p>
    <w:p>
      <w:pPr>
        <w:ind w:left="420"/>
      </w:pPr>
      <w:r>
        <w:t xml:space="preserve">1. Mindestanforderungen für die Behandlung und Verwertung von Altbatterien festzulegen,</w:t>
      </w:r>
    </w:p>
    <w:p>
      <w:pPr>
        <w:ind w:left="420"/>
      </w:pPr>
      <w:r>
        <w:t xml:space="preserve">2. Vorschriften zur Umsetzung von Durchführungsbestimmungen gemäß Artikel 15 Absatz 3 der Richtlinie 2006/66/EG zu erlassen,</w:t>
      </w:r>
    </w:p>
    <w:p>
      <w:pPr>
        <w:ind w:left="420"/>
      </w:pPr>
      <w:r>
        <w:t xml:space="preserve">3. Vorgaben für die Bestimmung der Kapazität von Fahrzeug- und Gerätebatterien sowie für die Gestaltung der Kapazitätsangabe festzulegen und</w:t>
      </w:r>
    </w:p>
    <w:p>
      <w:pPr>
        <w:ind w:left="420"/>
      </w:pPr>
      <w:r>
        <w:t xml:space="preserve">4. Ausnahmen von § 17 Absatz 1 bis 6 zuzulassen.</w:t>
      </w:r>
    </w:p>
    <w:p>
      <w:r>
        <w:rPr>
          <w:color w:val="555555"/>
          <w:sz w:val="17"/>
        </w:rPr>
        <w:t xml:space="preserve">Zitiervorschlag: § 27 BattG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