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BattG — Ermächtigung zur Beleihung</w:t>
      </w:r>
    </w:p>
    <w:p>
      <w:r>
        <w:rPr>
          <w:color w:val="555555"/>
          <w:sz w:val="18"/>
        </w:rPr>
        <w:t xml:space="preserve">Batteriegesetz</w:t>
      </w:r>
    </w:p>
    <w:p>
      <w:r>
        <w:rPr>
          <w:color w:val="555555"/>
          <w:sz w:val="18"/>
        </w:rPr>
        <w:t xml:space="preserve">Außer Kraft: § 23 ist seit 07.10.2025 nicht mehr im BattG enthalten. Angezeigt wird die letzte bekannte Fassung, Stand 01.01.2021.</w:t>
      </w:r>
    </w:p>
    <w:p>
      <w:r>
        <w:t xml:space="preserve">(1) Die zuständige Behörde wird ermächtigt, die Gemeinsame Stelle der Hersteller nach dem Elektro- und Elektronikgerätegesetz mit den Aufgaben und Befugnissen nach § 4 Absatz 3, § 7 Absatz 6, den §§ 20 bis 22 und 28 Absatz 1 zu beleihen. Die Aufgaben schließen die Vollstreckung, die Rücknahme und den Widerruf der hierzu ergehenden Verwaltungsakte ein. Die zu Beleihende hat die notwendige Gewähr für die ordnungsgemäße Erfüllung der ihr übertragenen Aufgaben zu bieten. Dies ist gewährleistet, wenn</w:t>
      </w:r>
    </w:p>
    <w:p>
      <w:pPr>
        <w:ind w:left="420"/>
      </w:pPr>
      <w:r>
        <w:t xml:space="preserve">1. die Personen, die nach Gesetz, nach dem Gesellschaftsvertrag oder nach der Satzung die Geschäftsführung und Vertretung ausüben, zuverlässig und fachlich geeignet sind,</w:t>
      </w:r>
    </w:p>
    <w:p>
      <w:pPr>
        <w:ind w:left="420"/>
      </w:pPr>
      <w:r>
        <w:t xml:space="preserve">2. die zu Beleihende die zur Erfüllung ihrer Aufgaben notwendige Ausstattung und Organisation hat und</w:t>
      </w:r>
    </w:p>
    <w:p>
      <w:pPr>
        <w:ind w:left="420"/>
      </w:pPr>
      <w:r>
        <w:t xml:space="preserve">3. sichergestellt ist, dass die Vorschriften zum Schutz personenbezogener Daten sowie zum Schutz von Betriebs- und Geschäftsgeheimnissen eingehalten werden.</w:t>
      </w:r>
    </w:p>
    <w:p>
      <w:r>
        <w:t xml:space="preserve">(2) Die zuständige Behörde kann der Beliehenen die Befugnis übertragen, für die Erfüllung der in Absatz 1 genannten Aufgaben Gebühren und Auslagen nach dem Bundesgebührengesetz zu erheben und festzulegen, wie die Gebühren und Auslagen vom Gebührenschuldner zu zahlen sind. Soweit bei der Beliehenen im Rahmen der Erfüllung der Aufgaben nach Absatz 1 Aufwand für nicht individuelle zurechenbare öffentliche Leistungen oder sonstiger Aufwand entsteht, der nicht durch die Gebühren- und Auslagenerhebung der Beliehenen gedeckt ist, oder soweit die Befugnis nach Satz 1 nicht übertragen wird, ersetzt die zuständige Behörde der Beliehenen die für die Erfüllung der Aufgaben nach Absatz 1 entstehenden Kosten und Auslagen.</w:t>
      </w:r>
    </w:p>
    <w:p>
      <w:r>
        <w:t xml:space="preserve">(3) Die Beleihung ist durch die zuständige Behörde im Bundesanzeiger bekannt zu machen.</w:t>
      </w:r>
    </w:p>
    <w:p>
      <w:r>
        <w:rPr>
          <w:color w:val="555555"/>
          <w:sz w:val="17"/>
        </w:rPr>
        <w:t xml:space="preserve">Zitiervorschlag: § 23 BattG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