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BattG — Vollständig automatisierter Erlass von Verwaltungsakten</w:t>
      </w:r>
    </w:p>
    <w:p>
      <w:r>
        <w:rPr>
          <w:color w:val="555555"/>
          <w:sz w:val="18"/>
        </w:rPr>
        <w:t xml:space="preserve">Batteriegesetz</w:t>
      </w:r>
    </w:p>
    <w:p>
      <w:r>
        <w:rPr>
          <w:color w:val="555555"/>
          <w:sz w:val="18"/>
        </w:rPr>
        <w:t xml:space="preserve">Außer Kraft: § 22 ist seit 07.10.2025 nicht mehr im BattG enthalten. Angezeigt wird die letzte bekannte Fassung, Stand 01.01.2021.</w:t>
      </w:r>
    </w:p>
    <w:p>
      <w:r>
        <w:t xml:space="preserve">Verwaltungsakte der zuständigen Behörde nach den §§ 20, 21 und 28 Absatz 1 können unbeschadet des § 24 Absatz 1 Satz 3 des Verwaltungsverfahrensgesetzes vollständig durch automatische Einrichtungen erlassen werden, sofern kein Anlass besteht, den Einzelfall durch Amtsträger zu bearbeiten.</w:t>
      </w:r>
    </w:p>
    <w:p>
      <w:r>
        <w:rPr>
          <w:color w:val="555555"/>
          <w:sz w:val="17"/>
        </w:rPr>
        <w:t xml:space="preserve">Zitiervorschlag: § 22 BattG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