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BattG — Kennzeichnung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Historische Fassung: Stand 07.10.2025 bis 18.08.2026. Dies ist nicht die aktuelle Fassung.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(weggefallen)</w:t>
      </w:r>
    </w:p>
    <w:p>
      <w:r>
        <w:t xml:space="preserve">(6) Der Hersteller ist verpflichtet, Fahrzeug- und Gerätebatterien vor dem erstmaligen Inverkehrbringen mit einer sichtbaren, lesbaren und unauslöschlichen Kapazitätsangabe zu versehen. Bei der Bestimmung der Kapazität und der Gestaltung der Kapazitätsangabe sind die durch Rechtsverordnung nach § 27 Nummer 3 und nach der Verordnung (EU) Nr. 1103/2010 der Kommission vom 29. November 2010 zur Festlegung – gemäß der Richtlinie 2006/66/EG des Europäischen Parlaments und des Rates – von Vorschriften für die Angabe der Kapazität auf sekundären (wiederaufladbaren) Gerätebatterien und -akkumulatoren sowie auf Fahrzeugbatterien und -akkumulatoren (ABl. L 313 vom 30.11.2010, S. 3) festgelegten Vorgaben zu beachten.</w:t>
      </w:r>
    </w:p>
    <w:p>
      <w:r>
        <w:t xml:space="preserve">(7) (weggefallen)</w:t>
      </w:r>
    </w:p>
    <w:p>
      <w:r>
        <w:rPr>
          <w:color w:val="555555"/>
          <w:sz w:val="17"/>
        </w:rPr>
        <w:t xml:space="preserve">Zitiervorschlag: § 17 BattG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