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BattG — Sammelziel</w:t>
      </w:r>
    </w:p>
    <w:p>
      <w:r>
        <w:rPr>
          <w:color w:val="555555"/>
          <w:sz w:val="18"/>
        </w:rPr>
        <w:t xml:space="preserve">Batteriegesetz</w:t>
      </w:r>
    </w:p>
    <w:p>
      <w:r>
        <w:rPr>
          <w:color w:val="555555"/>
          <w:sz w:val="18"/>
        </w:rPr>
        <w:t xml:space="preserve">Außer Kraft: § 16 ist seit 07.10.2025 nicht mehr im BattG enthalten. Angezeigt wird die letzte bekannte Fassung, Stand 01.01.2021.</w:t>
      </w:r>
    </w:p>
    <w:p>
      <w:r>
        <w:t xml:space="preserve">(1) Die Rücknahmesysteme nach § 7 Absatz 1 Satz 1 müssen jeweils im eigenen System für Geräte-Altbatterien eine Sammelquote von mindestens 50 Prozent erreichen und dauerhaft sicherstellen.</w:t>
      </w:r>
    </w:p>
    <w:p>
      <w:r>
        <w:t xml:space="preserve">(2) Zur Berechnung der Sammelquote nach Absatz 1 ist die Masse der Geräte-Altbatterien, die im Geltungsbereich dieses Gesetzes in einem Kalenderjahr zurückgenommen wurde, ins Verhältnis zu setzen zu der Masse an Gerätebatterien, die im Durchschnitt des betreffenden und der beiden vorangegangenen Kalenderjahre im Geltungsbereich dieses Gesetzes erstmals in Verkehr gebracht worden ist und im Geltungsbereich dieses Gesetzes für eine getrennte Erfassung zur Verfügung steht. Bei der Berechnung nach Satz 1 darf die Masse der zurückgenommenen Blei-Säure-Geräte-Altbatterien nur insoweit herangezogen werden, als sie die Masse der erstmals in Verkehr gebrachten Blei-Säure-Gerätebatterien, die im Geltungsbereich dieses Gesetzes für eine getrennte Erfassung zur Verfügung steht, nicht übersteigt.</w:t>
      </w:r>
    </w:p>
    <w:p>
      <w:r>
        <w:t xml:space="preserve">(3) Bei einem Wechsel eines Herstellers von einem Rücknahmesystem zu einem anderen Rücknahmesystem wird die in Verkehr gebrachte Masse an Gerätebatterien bei der Berechnung der Sammelquote nach Absatz 2 erst ab dem Zeitpunkt des Wechsels dem neuen Rücknahmesystem zugerechnet. Zuvor in Verkehr gebrachte Gerätebatterien verbleiben für die Berechnung der Sammelquote beim bisherigen Rücknahmesystem.</w:t>
      </w:r>
    </w:p>
    <w:p>
      <w:r>
        <w:rPr>
          <w:color w:val="555555"/>
          <w:sz w:val="17"/>
        </w:rPr>
        <w:t xml:space="preserve">Zitiervorschlag: § 16 BattG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